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微软雅黑" w:hAnsi="微软雅黑" w:eastAsia="微软雅黑"/>
          <w:b/>
          <w:color w:val="FF0000"/>
          <w:sz w:val="44"/>
        </w:rPr>
      </w:pPr>
      <w:r>
        <w:rPr>
          <w:rFonts w:hint="eastAsia" w:ascii="微软雅黑" w:hAnsi="微软雅黑" w:eastAsia="微软雅黑"/>
          <w:b/>
          <w:color w:val="FF0000"/>
          <w:sz w:val="44"/>
        </w:rPr>
        <w:t>资本后EMBA董事长</w:t>
      </w:r>
      <w:r>
        <w:rPr>
          <w:rFonts w:ascii="微软雅黑" w:hAnsi="微软雅黑" w:eastAsia="微软雅黑"/>
          <w:b/>
          <w:color w:val="FF0000"/>
          <w:sz w:val="44"/>
        </w:rPr>
        <w:t>高端项目</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微软雅黑" w:hAnsi="微软雅黑" w:eastAsia="微软雅黑"/>
          <w:b/>
          <w:sz w:val="24"/>
          <w:szCs w:val="28"/>
        </w:rPr>
      </w:pPr>
      <w:r>
        <w:rPr>
          <w:rFonts w:hint="eastAsia" w:ascii="微软雅黑" w:hAnsi="微软雅黑" w:eastAsia="微软雅黑"/>
          <w:b/>
          <w:sz w:val="24"/>
          <w:szCs w:val="28"/>
        </w:rPr>
        <w:t>——卓越190商业领袖培育工程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微软雅黑" w:hAnsi="微软雅黑" w:eastAsia="微软雅黑"/>
          <w:b/>
          <w:sz w:val="24"/>
          <w:szCs w:val="28"/>
        </w:rPr>
      </w:pPr>
      <w:r>
        <w:rPr>
          <w:sz w:val="24"/>
        </w:rPr>
        <mc:AlternateContent>
          <mc:Choice Requires="wps">
            <w:drawing>
              <wp:anchor distT="0" distB="0" distL="114300" distR="114300" simplePos="0" relativeHeight="251710464" behindDoc="1" locked="0" layoutInCell="1" allowOverlap="1">
                <wp:simplePos x="0" y="0"/>
                <wp:positionH relativeFrom="column">
                  <wp:posOffset>709930</wp:posOffset>
                </wp:positionH>
                <wp:positionV relativeFrom="paragraph">
                  <wp:posOffset>131445</wp:posOffset>
                </wp:positionV>
                <wp:extent cx="4013200" cy="925195"/>
                <wp:effectExtent l="0" t="0" r="6350" b="8255"/>
                <wp:wrapNone/>
                <wp:docPr id="6" name="圆角矩形 6"/>
                <wp:cNvGraphicFramePr/>
                <a:graphic xmlns:a="http://schemas.openxmlformats.org/drawingml/2006/main">
                  <a:graphicData uri="http://schemas.microsoft.com/office/word/2010/wordprocessingShape">
                    <wps:wsp>
                      <wps:cNvSpPr/>
                      <wps:spPr>
                        <a:xfrm>
                          <a:off x="1826260" y="1792605"/>
                          <a:ext cx="4013200" cy="9251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9pt;margin-top:10.35pt;height:72.85pt;width:316pt;z-index:-251606016;v-text-anchor:middle;mso-width-relative:page;mso-height-relative:page;" fillcolor="#FFF2CC [663]" filled="t" stroked="f" coordsize="21600,21600" arcsize="0.166666666666667" o:gfxdata="UEsDBAoAAAAAAIdO4kAAAAAAAAAAAAAAAAAEAAAAZHJzL1BLAwQUAAAACACHTuJArOf0INcAAAAK&#10;AQAADwAAAGRycy9kb3ducmV2LnhtbE2PvW7DMAyE9wJ5B4EFsjWS09QuXMsZAmQputT9mRWLsY1Y&#10;lGHJiZOnLzu14/GOx4/Fdna9OOMYOk8akpUCgVR721Gj4fNj//AMIkRD1vSeUMMVA2zLxV1hcusv&#10;9I7nKjaCSyjkRkMb45BLGeoWnQkrPyCxd/SjM5Hl2Eg7mguXu16ulUqlMx3xhdYMuGuxPlWTY4zv&#10;23QMMw1Z18T909ft9Fa9Kq2X94l6ARFxjn9h+MXnHSiZ6eAnskH0rJOE0aOGtcpAcCDbPPLgwE6a&#10;bkCWhfz/QvkDUEsDBBQAAAAIAIdO4kA0HntdhAIAAM0EAAAOAAAAZHJzL2Uyb0RvYy54bWytVEuO&#10;EzEQ3SNxB8t7ppMmk5lE00FRRkFIAzNiQKwdtzttyT9sJ53hAByANRISG8QhOM4IjsGzO/Phs0Js&#10;nCq7UvXqVb0+ebLTimyFD9Kaig4PBpQIw20tzbqir18tHx1TEiIzNVPWiIpeiUCfzB4+OOncVJS2&#10;taoWniCJCdPOVbSN0U2LIvBWaBYOrBMGj431mkW4fl3UnnXIrlVRDgbjorO+dt5yEQJuT/tHOsv5&#10;m0bweN40QUSiKgpsMZ8+n6t0FrMTNl175lrJ9zDYP6DQTBoUvU11yiIjGy//SKUl9zbYJh5wqwvb&#10;NJKL3AO6GQ5+6+ayZU7kXkBOcLc0hf+Xlr/YXngi64qOKTFMY0TXH9//+PLh+6ev198+k3FiqHNh&#10;isBLd+H3XoCZ2t01XqdfNEJ2mP9xOS7H4PkK9tEE5mHPsNhFwhEwGgwfY2yUcERMysPhJAcUd5mc&#10;D/GpsJoko6Lebkz9EmPM7LLtWYiAgPibuFQ9WCXrpVQqO369WihPtgwjXy6X5WKR/6s2+rmt+2tA&#10;AIg8e1xjQ/rr45tr5A99mlzrl/zKkA7dlUe5DYadbRSL6Eg7sBjMmhKm1hADjz4XNjZBy8US6FMW&#10;2r5cTtuj0DJCBkrqimYQGRxQKAMAif6e8GStbH2FkXnb73JwfCmR9oyFeME8lhfsQpDxHEejLLDa&#10;vUVJa/27v92neOwUXinpIAb08XbDvKBEPTPYtslwNErqyc7o8KiE4++/rO6/mI1eWJA/hPQdz2aK&#10;j+rGbLzVb6DbeaqKJ2Y4aveM7Z1F7EUK5XMxn+cwKMaxeGYuHU/J07CNnW+ibWReijt29qRBM3l+&#10;e30nUd73c9TdV2j2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zn9CDXAAAACgEAAA8AAAAAAAAA&#10;AQAgAAAAIgAAAGRycy9kb3ducmV2LnhtbFBLAQIUABQAAAAIAIdO4kA0HntdhAIAAM0EAAAOAAAA&#10;AAAAAAEAIAAAACYBAABkcnMvZTJvRG9jLnhtbFBLBQYAAAAABgAGAFkBAAAcBgAAAAA=&#10;">
                <v:fill on="t" focussize="0,0"/>
                <v:stroke on="f" weight="1pt" miterlimit="8" joinstyle="miter"/>
                <v:imagedata o:title=""/>
                <o:lock v:ext="edit" aspectratio="f"/>
              </v:roundrect>
            </w:pict>
          </mc:Fallback>
        </mc:AlternateConten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国内首创教育产业新模式，读《资本后</w:t>
      </w:r>
      <w:r>
        <w:rPr>
          <w:rFonts w:ascii="仿宋" w:hAnsi="仿宋" w:eastAsia="仿宋" w:cs="微软雅黑"/>
          <w:b/>
          <w:bCs/>
          <w:color w:val="FF0000"/>
          <w:sz w:val="21"/>
        </w:rPr>
        <w:t>E</w:t>
      </w:r>
      <w:r>
        <w:rPr>
          <w:rFonts w:hint="eastAsia" w:ascii="仿宋" w:hAnsi="仿宋" w:eastAsia="仿宋" w:cs="微软雅黑"/>
          <w:b/>
          <w:bCs/>
          <w:color w:val="FF0000"/>
          <w:sz w:val="21"/>
        </w:rPr>
        <w:t xml:space="preserve"> 》，赠 北清领袖基金；</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国内著名投资机构免费为企业战略诊断，推动企业进入资本市场；</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国内独创五大实战落地方案训练班，助力企业产融结合转型升级；</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【项目背景】</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全球商业模式创新和跨界颠覆时代已经来临，新商业变革越来越猛烈地冲击着传统商业规则，将传统产业、传统商业模式统统逼向死角！</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面对新商业变革的冲击，传统产业如何借助新的商业模式创新转危为机、突围发展？传统企业家又如何借资本与互联网的翅膀，凤凰涅槃、浴火重生？</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北清智库商学院因应企业家学员需求，在办好《私募股权》、《金融EMBA》的基础上，携优势资本、红杉资本等全国顶尖教育与资本机构专家资源，创新商业模式，颠覆行业规则，革命性打造以“推动企业进入资本市场，助力企业健康转型升级”为目标的《资本后EMBA董事长高端项目》（简称“资本后E”）。</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rPr>
      </w:pPr>
      <w:r>
        <w:rPr>
          <w:rFonts w:hint="eastAsia" w:ascii="微软雅黑" w:hAnsi="微软雅黑" w:eastAsia="微软雅黑"/>
          <w:b/>
          <w:color w:val="FF0000"/>
          <w:sz w:val="28"/>
        </w:rPr>
        <w:t>【资本后E四大收益</w:t>
      </w:r>
      <w:r>
        <w:rPr>
          <w:rFonts w:ascii="微软雅黑" w:hAnsi="微软雅黑" w:eastAsia="微软雅黑"/>
          <w:b/>
          <w:color w:val="FF0000"/>
          <w:sz w:val="28"/>
        </w:rPr>
        <w:t>】</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kern w:val="2"/>
        </w:rPr>
        <w:t>一、创新产业商业模式，颠覆教育行业规则：</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kern w:val="2"/>
        </w:rPr>
      </w:pPr>
      <w:r>
        <w:rPr>
          <w:rFonts w:hint="eastAsia" w:ascii="楷体" w:hAnsi="楷体" w:eastAsia="楷体"/>
        </w:rPr>
        <w:t xml:space="preserve">    入班即被赠予10万元私募股权基金原始股期权，三年后可市价转售获利，也可继续持有享受分红；同时获得全球著名的红杉资本、德同资本、中金</w:t>
      </w:r>
      <w:r>
        <w:rPr>
          <w:rFonts w:ascii="楷体" w:hAnsi="楷体" w:eastAsia="楷体"/>
        </w:rPr>
        <w:t>公司</w:t>
      </w:r>
      <w:r>
        <w:rPr>
          <w:rFonts w:hint="eastAsia" w:ascii="楷体" w:hAnsi="楷体" w:eastAsia="楷体"/>
        </w:rPr>
        <w:t>、优势资本等跟投机会；</w:t>
      </w:r>
      <w:r>
        <w:rPr>
          <w:rFonts w:ascii="楷体" w:hAnsi="楷体" w:eastAsia="楷体"/>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二、五套落地方案实践，助力企业转型升级：</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 xml:space="preserve">    结合学员企业实际情况，由老师授课现场指导，打造“商业模式方案、股权激励方案、市值管理方案、盈利模式方案、投资组合方案”等五大落地方案，指导学员企业转型升级实践；</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三、顶级投资服务团队，以推动学员企业进入资本市场为课程目标：</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由北清智库商学院、优势资本、红杉资本等全国顶尖专家组成顶级投资团队，亲自辅导和引领学员企业进入资本市场，实现“产业+资本”飞跃发展；</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四、创新全国资源平台，推动企业集群发展</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卓越190商业领袖培育工程，通过全国海选，选拔190名在各领域卓有成绩的企业家，共享万人北清校友圈层，实现资源互补，形成项目池、资金池，打造联动万亿资本的商业航母，推动北清校友集群发展。</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FF0000"/>
          <w:sz w:val="28"/>
        </w:rPr>
        <w:t>【资本后E平台理念】</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ascii="微软雅黑" w:hAnsi="微软雅黑" w:eastAsia="微软雅黑"/>
          <w:b/>
          <w:color w:val="000000" w:themeColor="text1"/>
          <w14:textFill>
            <w14:solidFill>
              <w14:schemeClr w14:val="tx1"/>
            </w14:solidFill>
          </w14:textFill>
        </w:rPr>
        <w:drawing>
          <wp:anchor distT="0" distB="0" distL="114300" distR="114300" simplePos="0" relativeHeight="251711488" behindDoc="0" locked="0" layoutInCell="1" allowOverlap="1">
            <wp:simplePos x="0" y="0"/>
            <wp:positionH relativeFrom="column">
              <wp:posOffset>3517265</wp:posOffset>
            </wp:positionH>
            <wp:positionV relativeFrom="paragraph">
              <wp:posOffset>207010</wp:posOffset>
            </wp:positionV>
            <wp:extent cx="2631440" cy="1743075"/>
            <wp:effectExtent l="15875" t="15875" r="76835" b="6985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
                    <a:srcRect/>
                    <a:stretch>
                      <a:fillRect/>
                    </a:stretch>
                  </pic:blipFill>
                  <pic:spPr>
                    <a:xfrm>
                      <a:off x="0" y="0"/>
                      <a:ext cx="2631440" cy="1743075"/>
                    </a:xfrm>
                    <a:prstGeom prst="rect">
                      <a:avLst/>
                    </a:prstGeom>
                    <a:effectLst>
                      <a:outerShdw blurRad="50800" dist="38100" dir="2700000" algn="tl" rotWithShape="0">
                        <a:prstClr val="black">
                          <a:alpha val="40000"/>
                        </a:prstClr>
                      </a:outerShdw>
                    </a:effectLst>
                  </pic:spPr>
                </pic:pic>
              </a:graphicData>
            </a:graphic>
          </wp:anchor>
        </w:drawing>
      </w:r>
      <w:r>
        <w:rPr>
          <w:rFonts w:hint="eastAsia" w:ascii="楷体" w:hAnsi="楷体" w:eastAsia="楷体"/>
        </w:rPr>
        <w:t>资本后EMBA董事长高端项目将形成完整的独立</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平台模式，率先加入的卓越190商业领袖培育工程的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190名学员将共享由优势资本与北清资本共同发起的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投资管理公司的20%的股份，资本后E平台所产生的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优质项目，投资管理公司将参与辅导、上市、投资等</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工作，卓越190学员将共享投资管理公司所产生的收</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益，同时具有平台项目的优先跟投权！</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微软雅黑" w:hAnsi="微软雅黑" w:eastAsia="微软雅黑"/>
          <w:b/>
          <w:color w:val="FF0000"/>
          <w:sz w:val="28"/>
        </w:rPr>
        <w:t>【资本后E平台的价值描述】</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drawing>
          <wp:inline distT="0" distB="0" distL="0" distR="0">
            <wp:extent cx="5486400" cy="3012440"/>
            <wp:effectExtent l="15875" t="15875" r="79375" b="768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5486400" cy="301244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FF0000"/>
          <w:sz w:val="28"/>
        </w:rPr>
        <w:t>【资本服务部分案例】</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r>
        <w:rPr>
          <w:rFonts w:hint="eastAsia" w:ascii="楷体" w:hAnsi="楷体" w:eastAsia="楷体"/>
        </w:rPr>
        <w:t>优势资本旗下联合财富中国金融控股集团，近期已经协助超过</w:t>
      </w:r>
      <w:r>
        <w:rPr>
          <w:rFonts w:hint="eastAsia" w:ascii="微软雅黑" w:hAnsi="微软雅黑" w:eastAsia="微软雅黑"/>
          <w:b/>
          <w:color w:val="FF0000"/>
          <w:sz w:val="28"/>
        </w:rPr>
        <w:t>25</w:t>
      </w:r>
      <w:r>
        <w:rPr>
          <w:rFonts w:hint="eastAsia" w:ascii="楷体" w:hAnsi="楷体" w:eastAsia="楷体"/>
        </w:rPr>
        <w:t>家企业获得私募融资，融资金额累计已经超过</w:t>
      </w:r>
      <w:r>
        <w:rPr>
          <w:rFonts w:hint="eastAsia" w:ascii="微软雅黑" w:hAnsi="微软雅黑" w:eastAsia="微软雅黑"/>
          <w:b/>
          <w:color w:val="FF0000"/>
          <w:sz w:val="28"/>
        </w:rPr>
        <w:t>25</w:t>
      </w:r>
      <w:r>
        <w:rPr>
          <w:rFonts w:hint="eastAsia" w:ascii="楷体" w:hAnsi="楷体" w:eastAsia="楷体"/>
        </w:rPr>
        <w:t>亿人民币。</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hint="eastAsia" w:ascii="楷体" w:hAnsi="楷体" w:eastAsia="楷体"/>
        </w:rPr>
      </w:pPr>
      <w:r>
        <w:rPr>
          <w:rFonts w:hint="eastAsia" w:ascii="楷体" w:hAnsi="楷体" w:eastAsia="楷体"/>
        </w:rPr>
        <w:t>协助超过</w:t>
      </w:r>
      <w:r>
        <w:rPr>
          <w:rFonts w:hint="eastAsia" w:ascii="微软雅黑" w:hAnsi="微软雅黑" w:eastAsia="微软雅黑"/>
          <w:b/>
          <w:color w:val="FF0000"/>
          <w:sz w:val="28"/>
        </w:rPr>
        <w:t>40</w:t>
      </w:r>
      <w:r>
        <w:rPr>
          <w:rFonts w:hint="eastAsia" w:ascii="楷体" w:hAnsi="楷体" w:eastAsia="楷体"/>
        </w:rPr>
        <w:t>家企业在境内外多个主流交易所首发上市，IPO融资金额累计超过</w:t>
      </w:r>
      <w:r>
        <w:rPr>
          <w:rFonts w:hint="eastAsia" w:ascii="微软雅黑" w:hAnsi="微软雅黑" w:eastAsia="微软雅黑"/>
          <w:b/>
          <w:color w:val="FF0000"/>
          <w:sz w:val="28"/>
        </w:rPr>
        <w:t>120</w:t>
      </w:r>
      <w:r>
        <w:rPr>
          <w:rFonts w:hint="eastAsia" w:ascii="楷体" w:hAnsi="楷体" w:eastAsia="楷体"/>
        </w:rPr>
        <w:t>亿人民币，市值过百亿的企业超过10家。</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hint="eastAsia" w:ascii="楷体" w:hAnsi="楷体" w:eastAsia="楷体"/>
        </w:rPr>
      </w:pPr>
      <w:r>
        <w:rPr>
          <w:rFonts w:ascii="楷体" w:hAnsi="楷体" w:eastAsia="楷体"/>
        </w:rPr>
        <w:drawing>
          <wp:anchor distT="0" distB="0" distL="114300" distR="114300" simplePos="0" relativeHeight="251712512" behindDoc="0" locked="0" layoutInCell="1" allowOverlap="1">
            <wp:simplePos x="0" y="0"/>
            <wp:positionH relativeFrom="column">
              <wp:posOffset>-367030</wp:posOffset>
            </wp:positionH>
            <wp:positionV relativeFrom="paragraph">
              <wp:posOffset>52070</wp:posOffset>
            </wp:positionV>
            <wp:extent cx="6348730" cy="3677285"/>
            <wp:effectExtent l="15875" t="15875" r="74295" b="7874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8730" cy="3677285"/>
                    </a:xfrm>
                    <a:prstGeom prst="rect">
                      <a:avLst/>
                    </a:prstGeom>
                    <a:effectLst>
                      <a:outerShdw blurRad="50800" dist="38100" dir="2700000" algn="tl" rotWithShape="0">
                        <a:prstClr val="black">
                          <a:alpha val="40000"/>
                        </a:prstClr>
                      </a:outerShdw>
                    </a:effectLst>
                  </pic:spPr>
                </pic:pic>
              </a:graphicData>
            </a:graphic>
          </wp:anchor>
        </w:drawing>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微软雅黑" w:hAnsi="微软雅黑" w:eastAsia="微软雅黑"/>
          <w:b/>
          <w:color w:val="FF0000"/>
          <w:sz w:val="28"/>
        </w:rPr>
        <w:t>【实战课程设置】</w:t>
      </w:r>
    </w:p>
    <w:tbl>
      <w:tblPr>
        <w:tblStyle w:val="5"/>
        <w:tblW w:w="8955"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模块一：战略思维创新与企业转型升级</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模块二：资本与商业模式顶层设计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·战略与并购管理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·战略与商业模式创新</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·企业战略定位与定位工具</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·企业战略落地实施方案设计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·市场老三、老四的资本化战略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·市场老大、老二的资本化战略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·聚焦战略的资本运营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·品类战略从“小众市场”转型“大众市场”</w:t>
            </w:r>
            <w:r>
              <w:rPr>
                <w:rFonts w:ascii="宋体" w:hAnsi="宋体" w:eastAsia="宋体"/>
                <w:sz w:val="21"/>
                <w:szCs w:val="21"/>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·符合资本市场的融资模式的设计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·28项建立强大巴台农神庙的通用战略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·“特劳特”定位战略如何资本化</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·战略性业务增长的12大支柱</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·从“抠利润”到“做市值”的资本思维</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·从“上市陷阱”到“上市规划”的转型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·从“对赌风险”到“少数人控制企业”的</w:t>
            </w:r>
            <w:r>
              <w:rPr>
                <w:rFonts w:ascii="宋体" w:hAnsi="宋体" w:eastAsia="宋体"/>
                <w:sz w:val="21"/>
                <w:szCs w:val="21"/>
              </w:rPr>
              <w:t xml:space="preserve"> </w:t>
            </w:r>
            <w:r>
              <w:rPr>
                <w:rFonts w:hint="eastAsia" w:ascii="宋体" w:hAnsi="宋体" w:eastAsia="宋体"/>
                <w:sz w:val="21"/>
                <w:szCs w:val="21"/>
              </w:rPr>
              <w:t xml:space="preserve"> 资本技巧；</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·设计市值管理的商业模式;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·低成本提升利润的37种模式（商业模式与盈利模式）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·提升市盈率的21种方法</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·您在哈佛商学院无法学到的七个商业概念</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·亚伯拉罕的93种推荐方案</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·37个价值100万美元的标题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·137个已经验证的最佳可用版本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模块三：顶级资本模式的设计与实践</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模块四：债权市场与股权市场的应用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·顶级资本模式应用</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·新兴产业的资本模式的创新</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·新资本模式顶层设计的核心思路案例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·私募股权基金的“募、投、管、退”的策略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·股权投资如何与资本运营结合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·如何打造市值100亿的上市企业？</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·企业如何拥有产业链的控制权？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·企业如何设计产融结合的方案</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·并购基金与定向增发的盈利模型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·资本模式创新与易经的关系</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·基金模式创新与投资机制的设计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·类金融模式的具体分析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·对赌协议的应用和签署</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·规避关联交易的方式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·企业家主要投资误区解读</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·确认投资人（股东）的权力</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·企业境外构架的搭建</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·贷公司无限获取资金的技巧</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·保理公司的经营思路</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·投资业务的新设公司选择</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·妙计规避职务侵占罪</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·避免盲目注册的陷阱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·规避非法集资的陷阱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·P2P牌照的应用</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·抱团发展模式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·债权融资的方法</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·招式用老——期权画饼</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·成功创业者，都是好老公</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·企业隐患——股权均分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·众筹还是“种”愁</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·抽逃注册资金，要面儿？要里儿？</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·小额投资人如何参与一级证券市场</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·商业银行流水贷怎么做</w:t>
            </w:r>
            <w:r>
              <w:rPr>
                <w:rFonts w:ascii="宋体" w:hAnsi="宋体" w:eastAsia="宋体"/>
                <w:sz w:val="21"/>
                <w:szCs w:val="21"/>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·财富管理公司变身民营银行技巧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模块五：股权激励设计与股权模式创新</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模块六：资本价值导航与企业顶层设计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·股权激励设计与案例分析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“人聚一定股散”到“股散未必人聚”的后果如何避免</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·如何设计符合“资本价值”的股权激励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·通过科学的股权激励设计，超越团队执行力，并做到同心同德，不离不弃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·帮助激发核心员工或经销商对股权的渴望</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·帮助企业在“股散人聚”的时候，长久保持对企业的控制权，经营权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帮助企业留住核心人才，避免“另立山头”演化成新的竞争对手；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·帮助企业与投资人对接，做好股权布局，优化股权结构，提前设置好“防火墙”；</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·帮助企业选择管理层持股的最佳模式，满足资本市场的需求；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·帮助企业定人、定价、定时间、定数量、定条件等关键性因素的设置； </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·VC的投资组合与案例分析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·PE的投资组合实战与案例分析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·优势资本投资策略与97个案例分析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·红杉资本、软银塞富、中科招商、IDG等机构的投资策略与案例分析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·在投资家眼里好企业的五个标准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·如何设计符合“资本价值”的商业模式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·资源类企业、农业、大消费、现代服务业、高端制造业、零售连锁业、TMT的哪些产业链值得投资以及案例分析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·资产多的企业如何计算公司股价？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·轻资产的企业如何计算公司股价？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·无形资产、土地该不该一并计算？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·原价、溢价还是打折、不要钱？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·能不能让员工以业绩来换价格？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·什么价格给出的就什么价格回收，行不？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·如果回购，到时岂不是要大量现金支出？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模块七：移动互联网时代的模式与创新设计</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模块八：公司治理结构的创新实践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·移动互联网的思维迭代</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·移动互联网时代的商业模式经典设计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·帮助企业创新资本模式、成功转型、成功融</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  资的案例分析</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·董事会治理全球最佳实践——公司治理的中国经验与主要挑战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·高管薪酬与激励机制</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·CEO的选拔与交接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模块九：游学实践与产业资本论坛</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模块十：企业新资本模式实战操练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·游学太平</w:t>
            </w:r>
            <w:r>
              <w:rPr>
                <w:rFonts w:ascii="宋体" w:hAnsi="宋体" w:eastAsia="宋体"/>
                <w:sz w:val="21"/>
                <w:szCs w:val="21"/>
              </w:rPr>
              <w:t>人寿</w:t>
            </w:r>
            <w:r>
              <w:rPr>
                <w:rFonts w:hint="eastAsia" w:ascii="宋体" w:hAnsi="宋体" w:eastAsia="宋体"/>
                <w:sz w:val="21"/>
                <w:szCs w:val="21"/>
              </w:rPr>
              <w:t>，对话总经理张可</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·游学中金公司，对话董事总经理单</w:t>
            </w:r>
            <w:r>
              <w:rPr>
                <w:rFonts w:ascii="宋体" w:hAnsi="宋体" w:eastAsia="宋体"/>
                <w:sz w:val="21"/>
                <w:szCs w:val="21"/>
              </w:rPr>
              <w:t>俊葆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·游学优势资本，对话董事长吴克忠</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·企业深度会诊</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·企业项目路演辅导与实战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·拟投企业专家随访考察调研</w:t>
            </w:r>
          </w:p>
        </w:tc>
      </w:tr>
    </w:tbl>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【部分授课导师】</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 xml:space="preserve">     </w:t>
      </w:r>
      <w:r>
        <w:rPr>
          <w:rFonts w:hint="eastAsia" w:eastAsia="楷体"/>
          <w:lang w:val="en-US" w:eastAsia="zh-CN"/>
        </w:rPr>
        <w:t xml:space="preserve">   </w:t>
      </w:r>
      <w:r>
        <w:rPr>
          <w:rFonts w:hint="eastAsia" w:eastAsia="楷体"/>
        </w:rPr>
        <w:t>授课导师均来自一线投资机构的核心投资人，并且在相关领域取得卓有成绩的实战派专家，学员将得到导师全程指导与专项辅导！</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3536" behindDoc="0" locked="0" layoutInCell="1" allowOverlap="1">
            <wp:simplePos x="0" y="0"/>
            <wp:positionH relativeFrom="margin">
              <wp:posOffset>-234315</wp:posOffset>
            </wp:positionH>
            <wp:positionV relativeFrom="paragraph">
              <wp:posOffset>59690</wp:posOffset>
            </wp:positionV>
            <wp:extent cx="1017905" cy="1196340"/>
            <wp:effectExtent l="15875" t="15875" r="71120" b="83185"/>
            <wp:wrapSquare wrapText="bothSides"/>
            <wp:docPr id="118" name="图片 1" descr="微信截图_2016030417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descr="微信截图_20160304171636.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7905" cy="1196340"/>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授课导师：陈荣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上海中路股份（600818） 董事长，中路资本   董事长；专业致力于风险投资。已投资300余家创业公司。投资企业在国内外挂牌上市有40余家、尚有一批没有上市的独角兽企业，如神雾集团（120亿人民币）、波奇网（6亿美元）、膜法世家（2.5亿美元）、淡蓝（2.3亿美元）、博科软件（20亿人民币）。天使投资项目（估值在3000万元人民币以下），现在估值超过5亿人民币的项目超过50个</w:t>
      </w:r>
      <w:r>
        <w:rPr>
          <w:rFonts w:hint="eastAsia" w:eastAsia="楷体"/>
          <w:sz w:val="22"/>
          <w:szCs w:val="22"/>
          <w:lang w:eastAsia="zh-CN"/>
        </w:rPr>
        <w:t>。</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14560" behindDoc="0" locked="0" layoutInCell="1" allowOverlap="1">
            <wp:simplePos x="0" y="0"/>
            <wp:positionH relativeFrom="margin">
              <wp:posOffset>-180340</wp:posOffset>
            </wp:positionH>
            <wp:positionV relativeFrom="paragraph">
              <wp:posOffset>107950</wp:posOffset>
            </wp:positionV>
            <wp:extent cx="945515" cy="1129665"/>
            <wp:effectExtent l="15875" t="15875" r="86360" b="73660"/>
            <wp:wrapSquare wrapText="bothSides"/>
            <wp:docPr id="119" name="图片 1" descr="2014072815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201407281532614.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5515" cy="1129665"/>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授课导师：吴克忠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优势资本董事长，财富中国（投资银行）董事长，自1987年先后在高校及政府部门从事教学和经济工作,1992年起在中国证券市场市场建设初期就开始从事证券投资咨询及投资银行工作,1995年起在美国华尔街专业从事风险投资和私募股权投资，于2002年回国，创立了优势资本，曾主导参股投资了数十家包括金融服务，媒体，电信，销售网络，消费产品，新材料等类型的企业。</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asciiTheme="minorHAnsi" w:hAnsiTheme="minorHAnsi" w:cstheme="minorBidi"/>
          <w:b/>
          <w:sz w:val="28"/>
        </w:rPr>
      </w:pPr>
      <w:r>
        <w:rPr>
          <w:rFonts w:eastAsia="楷体"/>
          <w:b/>
          <w:sz w:val="28"/>
        </w:rPr>
        <w:drawing>
          <wp:anchor distT="0" distB="0" distL="114300" distR="114300" simplePos="0" relativeHeight="251729920" behindDoc="0" locked="0" layoutInCell="1" allowOverlap="1">
            <wp:simplePos x="0" y="0"/>
            <wp:positionH relativeFrom="margin">
              <wp:posOffset>-170180</wp:posOffset>
            </wp:positionH>
            <wp:positionV relativeFrom="margin">
              <wp:posOffset>2306955</wp:posOffset>
            </wp:positionV>
            <wp:extent cx="958850" cy="1236980"/>
            <wp:effectExtent l="15875" t="15875" r="73025" b="80645"/>
            <wp:wrapSquare wrapText="bothSides"/>
            <wp:docPr id="2" name="图片 1" descr="74762609284593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476260928459383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8850" cy="12369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郑翔洲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著名商业模式设计专家，资本</w:t>
      </w:r>
      <w:r>
        <w:rPr>
          <w:rFonts w:eastAsia="楷体"/>
          <w:sz w:val="22"/>
          <w:szCs w:val="22"/>
        </w:rPr>
        <w:t>中国培训联盟主席，</w:t>
      </w:r>
      <w:r>
        <w:rPr>
          <w:rFonts w:hint="eastAsia" w:eastAsia="楷体"/>
          <w:sz w:val="22"/>
          <w:szCs w:val="22"/>
        </w:rPr>
        <w:t>优势资本（中国</w:t>
      </w:r>
      <w:r>
        <w:rPr>
          <w:rFonts w:eastAsia="楷体"/>
          <w:sz w:val="22"/>
          <w:szCs w:val="22"/>
        </w:rPr>
        <w:t>基金</w:t>
      </w:r>
      <w:r>
        <w:rPr>
          <w:rFonts w:hint="eastAsia" w:eastAsia="楷体"/>
          <w:sz w:val="22"/>
          <w:szCs w:val="22"/>
        </w:rPr>
        <w:t>）合伙人。北京大学、清华大学最年轻的客座教授，被国内多家商学院学生评为“最受欢迎青年教师”；当当网畅销书《资本与商业模式顶层设计》作者。成功投资电桩股份、罗牛山</w:t>
      </w:r>
      <w:r>
        <w:rPr>
          <w:rFonts w:eastAsia="楷体"/>
          <w:sz w:val="22"/>
          <w:szCs w:val="22"/>
        </w:rPr>
        <w:t>并购</w:t>
      </w:r>
      <w:r>
        <w:rPr>
          <w:rFonts w:hint="eastAsia" w:eastAsia="楷体"/>
          <w:sz w:val="22"/>
          <w:szCs w:val="22"/>
        </w:rPr>
        <w:t>、棒杰股份</w:t>
      </w:r>
      <w:r>
        <w:rPr>
          <w:rFonts w:eastAsia="楷体"/>
          <w:sz w:val="22"/>
          <w:szCs w:val="22"/>
        </w:rPr>
        <w:t>并购</w:t>
      </w:r>
      <w:r>
        <w:rPr>
          <w:rFonts w:hint="eastAsia" w:eastAsia="楷体"/>
          <w:sz w:val="22"/>
          <w:szCs w:val="22"/>
        </w:rPr>
        <w:t>、浙江刷脸、中宇卫浴、越博新能源汽车、八大园林、乐金健康等。</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6608" behindDoc="0" locked="0" layoutInCell="1" allowOverlap="1">
            <wp:simplePos x="0" y="0"/>
            <wp:positionH relativeFrom="margin">
              <wp:posOffset>-179070</wp:posOffset>
            </wp:positionH>
            <wp:positionV relativeFrom="paragraph">
              <wp:posOffset>67945</wp:posOffset>
            </wp:positionV>
            <wp:extent cx="962025" cy="1198245"/>
            <wp:effectExtent l="15875" t="15875" r="69850" b="81280"/>
            <wp:wrapSquare wrapText="bothSides"/>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2" cstate="print">
                      <a:extLst>
                        <a:ext uri="{28A0092B-C50C-407E-A947-70E740481C1C}">
                          <a14:useLocalDpi xmlns:a14="http://schemas.microsoft.com/office/drawing/2010/main" val="0"/>
                        </a:ext>
                      </a:extLst>
                    </a:blip>
                    <a:srcRect b="16912"/>
                    <a:stretch>
                      <a:fillRect/>
                    </a:stretch>
                  </pic:blipFill>
                  <pic:spPr>
                    <a:xfrm flipH="1">
                      <a:off x="0" y="0"/>
                      <a:ext cx="962025" cy="11982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王  芩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资本实战专家，红杉资本（中国基金）合伙人；专注大消费领域投资，主导并参与了韩后化妆品集团、好彩头食品饮料集团、周黑鸭食品连锁集团、慈铭体检连锁集团，伊美尔医疗美容连锁集团、曼卡龙珠宝连锁集团，福奈特洗衣连锁集团、德州扒鸡连锁集团、八马茶叶连锁集团等项目直接投资。</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asciiTheme="minorHAnsi" w:hAnsiTheme="minorHAnsi" w:cstheme="minorBidi"/>
          <w:b/>
          <w:sz w:val="28"/>
        </w:rPr>
      </w:pPr>
      <w:r>
        <w:rPr>
          <w:rFonts w:ascii="Helvetica" w:hAnsi="Helvetica" w:cs="Helvetica"/>
        </w:rPr>
        <w:drawing>
          <wp:anchor distT="0" distB="0" distL="114300" distR="114300" simplePos="0" relativeHeight="251717632" behindDoc="0" locked="0" layoutInCell="1" allowOverlap="1">
            <wp:simplePos x="0" y="0"/>
            <wp:positionH relativeFrom="margin">
              <wp:posOffset>-163195</wp:posOffset>
            </wp:positionH>
            <wp:positionV relativeFrom="paragraph">
              <wp:posOffset>66675</wp:posOffset>
            </wp:positionV>
            <wp:extent cx="960755" cy="1160780"/>
            <wp:effectExtent l="15875" t="15875" r="71120" b="80645"/>
            <wp:wrapSquare wrapText="bothSides"/>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
                      <a:extLst>
                        <a:ext uri="{28A0092B-C50C-407E-A947-70E740481C1C}">
                          <a14:useLocalDpi xmlns:a14="http://schemas.microsoft.com/office/drawing/2010/main" val="0"/>
                        </a:ext>
                      </a:extLst>
                    </a:blip>
                    <a:srcRect l="10076" r="26346"/>
                    <a:stretch>
                      <a:fillRect/>
                    </a:stretch>
                  </pic:blipFill>
                  <pic:spPr>
                    <a:xfrm>
                      <a:off x="0" y="0"/>
                      <a:ext cx="960755" cy="11607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陆  豪  </w:t>
      </w:r>
    </w:p>
    <w:p>
      <w:pPr>
        <w:pStyle w:val="11"/>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b/>
          <w:sz w:val="24"/>
          <w:szCs w:val="22"/>
        </w:rPr>
      </w:pPr>
      <w:r>
        <w:rPr>
          <w:rFonts w:hint="eastAsia" w:eastAsia="楷体"/>
          <w:sz w:val="22"/>
          <w:szCs w:val="22"/>
        </w:rPr>
        <w:t>资本实战专家，软银赛富（亚洲基金）合伙人身兼数十家公司董事长职务，业务涉及风险投资、产权经纪、创投管理、商务咨询、酒店管理、高科技、食品等多元产业；曾先后成功实施了复旦张江香港IPO；豫园、浦东科创、环球网络、国通电讯、新华出版等多家企业的并购与重组。</w:t>
      </w:r>
    </w:p>
    <w:p>
      <w:pPr>
        <w:pStyle w:val="11"/>
        <w:keepNext w:val="0"/>
        <w:keepLines w:val="0"/>
        <w:pageBreakBefore w:val="0"/>
        <w:numPr>
          <w:ilvl w:val="0"/>
          <w:numId w:val="2"/>
        </w:numPr>
        <w:kinsoku/>
        <w:wordWrap/>
        <w:overflowPunct/>
        <w:topLinePunct w:val="0"/>
        <w:autoSpaceDE/>
        <w:autoSpaceDN/>
        <w:bidi w:val="0"/>
        <w:adjustRightInd/>
        <w:spacing w:line="360" w:lineRule="auto"/>
        <w:ind w:firstLineChars="0"/>
        <w:textAlignment w:val="auto"/>
        <w:outlineLvl w:val="9"/>
        <w:rPr>
          <w:rFonts w:ascii="宋体" w:hAnsi="宋体" w:cs="宋体"/>
          <w:b/>
          <w:bCs/>
          <w:szCs w:val="21"/>
        </w:rPr>
      </w:pPr>
      <w:r>
        <w:drawing>
          <wp:anchor distT="0" distB="0" distL="114300" distR="114300" simplePos="0" relativeHeight="251718656" behindDoc="0" locked="0" layoutInCell="1" allowOverlap="1">
            <wp:simplePos x="0" y="0"/>
            <wp:positionH relativeFrom="margin">
              <wp:posOffset>-187960</wp:posOffset>
            </wp:positionH>
            <wp:positionV relativeFrom="paragraph">
              <wp:posOffset>71755</wp:posOffset>
            </wp:positionV>
            <wp:extent cx="974725" cy="1188085"/>
            <wp:effectExtent l="15875" t="15875" r="76200" b="72390"/>
            <wp:wrapSquare wrapText="bothSides"/>
            <wp:docPr id="123" name="图片 18" descr="微信截图_2015111814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descr="微信截图_201511181421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74725" cy="11880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龙平敬 </w:t>
      </w:r>
    </w:p>
    <w:p>
      <w:pPr>
        <w:pStyle w:val="11"/>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rPr>
      </w:pPr>
      <w:r>
        <w:rPr>
          <w:rFonts w:hint="eastAsia" w:eastAsia="楷体"/>
          <w:sz w:val="22"/>
          <w:szCs w:val="22"/>
        </w:rPr>
        <w:t>商业模式与互联网+实战专家，财富中国金融控股公司董事总经理；连锁经营实战专家；商界孵化中心首席顾问；高级管理顾问；浙江赛兔羊绒总顾问；北京金羽杰羽绒服营销顾问；上海嘉容记执行董事。</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9680" behindDoc="0" locked="0" layoutInCell="1" allowOverlap="1">
            <wp:simplePos x="0" y="0"/>
            <wp:positionH relativeFrom="margin">
              <wp:posOffset>-181610</wp:posOffset>
            </wp:positionH>
            <wp:positionV relativeFrom="paragraph">
              <wp:posOffset>57785</wp:posOffset>
            </wp:positionV>
            <wp:extent cx="964565" cy="1208405"/>
            <wp:effectExtent l="15875" t="15875" r="86360" b="71120"/>
            <wp:wrapSquare wrapText="bothSides"/>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64565" cy="120840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单俊葆</w:t>
      </w:r>
      <w:r>
        <w:rPr>
          <w:rFonts w:hint="eastAsia" w:eastAsia="楷体"/>
          <w:b/>
          <w:sz w:val="28"/>
        </w:rPr>
        <w:t xml:space="preserve">  </w:t>
      </w:r>
    </w:p>
    <w:p>
      <w:pPr>
        <w:pStyle w:val="11"/>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sz w:val="22"/>
          <w:szCs w:val="22"/>
        </w:rPr>
      </w:pPr>
      <w:r>
        <w:rPr>
          <w:rFonts w:hint="eastAsia" w:eastAsia="楷体"/>
          <w:sz w:val="22"/>
          <w:szCs w:val="22"/>
        </w:rPr>
        <w:t>中国国际金融股份有限公司  董事总经理，拥有11年投资银行经验和6年证券监管经验。加入中金公司后，先后参与并负责过金融、电信、能源、交通、医药、房地产、媒体、互联网等行业十余家大型国企集团、三家红筹公司及六家民营企业的重组改制、H股、A股发行上市、私募股权融资、债券融资、资产证券化、收购兼并等工作。</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30944" behindDoc="0" locked="0" layoutInCell="1" allowOverlap="1">
            <wp:simplePos x="0" y="0"/>
            <wp:positionH relativeFrom="margin">
              <wp:posOffset>-175895</wp:posOffset>
            </wp:positionH>
            <wp:positionV relativeFrom="margin">
              <wp:posOffset>1793240</wp:posOffset>
            </wp:positionV>
            <wp:extent cx="951230" cy="1268730"/>
            <wp:effectExtent l="15875" t="15875" r="80645" b="86995"/>
            <wp:wrapSquare wrapText="bothSides"/>
            <wp:docPr id="4" name="图片 1" descr="SJJ%(E@POB0`M4GQ[1G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SJJ%(E@POB0`M4GQ[1GX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951230" cy="126873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授课导师：赵胜  </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b/>
          <w:bCs/>
          <w:sz w:val="22"/>
          <w:szCs w:val="22"/>
        </w:rPr>
        <w:t>深圳华制国际（工业4.0）创始人，优势资本（美国基金）合伙人，</w:t>
      </w:r>
      <w:r>
        <w:rPr>
          <w:rFonts w:hint="eastAsia" w:eastAsia="楷体"/>
          <w:sz w:val="22"/>
          <w:szCs w:val="22"/>
        </w:rPr>
        <w:t>工业4.0投资家、硅谷、以色列创客资本创始人，北大、清华、复旦、交大等名校兼职教授，吉林省人民政府顾问，京东商城《工业4.0》畅销书作者；既有国际投资经验，又有国内投资经验；将国外先进技术与国内优质的市场结合，创造了技术资本与市场资本相结合，帮助大量的以色列企业到美国IPO上市。</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31968" behindDoc="0" locked="0" layoutInCell="1" allowOverlap="1">
            <wp:simplePos x="0" y="0"/>
            <wp:positionH relativeFrom="margin">
              <wp:posOffset>-222885</wp:posOffset>
            </wp:positionH>
            <wp:positionV relativeFrom="margin">
              <wp:posOffset>3750945</wp:posOffset>
            </wp:positionV>
            <wp:extent cx="1016000" cy="1190625"/>
            <wp:effectExtent l="15875" t="15875" r="73025" b="69850"/>
            <wp:wrapSquare wrapText="bothSides"/>
            <wp:docPr id="5" name="图片 11" descr="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7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016000" cy="11906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授课导师：薛蛮子</w:t>
      </w:r>
      <w:r>
        <w:rPr>
          <w:rFonts w:eastAsia="楷体"/>
          <w:b/>
          <w:sz w:val="28"/>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著名天使投资人，曾是知名上市企业的创始人，同时也是更多知名企业的投资人，他十几年前就是华尔街知名的华人投资家，数十年成功的企业运营经验和投资经历，让他成为业内公认的老前辈。 UT斯达康创始人之一，他投资过的项目包括PCPOP、李想的汽车之家、方三文的雪球财经以及杜子健的华艺百创等公司。</w:t>
      </w:r>
    </w:p>
    <w:p>
      <w:pPr>
        <w:pStyle w:val="11"/>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ascii="Helvetica" w:hAnsi="Helvetica" w:cs="Helvetica"/>
        </w:rPr>
        <w:drawing>
          <wp:anchor distT="0" distB="0" distL="114300" distR="114300" simplePos="0" relativeHeight="251732992" behindDoc="0" locked="0" layoutInCell="1" allowOverlap="1">
            <wp:simplePos x="0" y="0"/>
            <wp:positionH relativeFrom="margin">
              <wp:posOffset>-191135</wp:posOffset>
            </wp:positionH>
            <wp:positionV relativeFrom="margin">
              <wp:posOffset>5430520</wp:posOffset>
            </wp:positionV>
            <wp:extent cx="930910" cy="1287780"/>
            <wp:effectExtent l="15875" t="15875" r="81915" b="8699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b="9182"/>
                    <a:stretch>
                      <a:fillRect/>
                    </a:stretch>
                  </pic:blipFill>
                  <pic:spPr>
                    <a:xfrm flipH="1">
                      <a:off x="0" y="0"/>
                      <a:ext cx="930910" cy="12877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授课导师：阚治东</w:t>
      </w:r>
      <w:r>
        <w:rPr>
          <w:rFonts w:eastAsia="楷体"/>
          <w:b/>
          <w:sz w:val="28"/>
        </w:rPr>
        <w:t xml:space="preserve"> </w:t>
      </w:r>
      <w:r>
        <w:rPr>
          <w:rFonts w:hint="eastAsia" w:eastAsia="楷体"/>
          <w:b/>
          <w:sz w:val="28"/>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eastAsia="楷体"/>
          <w:b/>
          <w:sz w:val="28"/>
        </w:rPr>
        <w:drawing>
          <wp:anchor distT="0" distB="0" distL="114300" distR="114300" simplePos="0" relativeHeight="251734016" behindDoc="0" locked="0" layoutInCell="1" allowOverlap="1">
            <wp:simplePos x="0" y="0"/>
            <wp:positionH relativeFrom="margin">
              <wp:posOffset>-203200</wp:posOffset>
            </wp:positionH>
            <wp:positionV relativeFrom="margin">
              <wp:posOffset>7307580</wp:posOffset>
            </wp:positionV>
            <wp:extent cx="930910" cy="1195070"/>
            <wp:effectExtent l="15875" t="15875" r="81915" b="84455"/>
            <wp:wrapSquare wrapText="bothSides"/>
            <wp:docPr id="9" name="图片 1"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9.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910" cy="1195070"/>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sz w:val="22"/>
          <w:szCs w:val="22"/>
        </w:rPr>
        <w:t>东方汇富创投  总裁，1990年，创立申银证券公司，并担任总裁、法人代表，后将万国证券合并，任申银万国证券公司总裁，法人代表。阚治东先生领导团队创造了许多中国证券金融领域的“第一”，包括：第一个A股发行，第一个A股、H股同时发行，第一个B股发行，第一个证券营业部，第一个股票指数，第一个证券研究所，主持了中国证券行业第一起兼并收购等。</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p>
    <w:p>
      <w:pPr>
        <w:pStyle w:val="11"/>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hint="eastAsia" w:eastAsia="楷体"/>
          <w:b/>
          <w:sz w:val="28"/>
        </w:rPr>
        <w:t>授课导师：</w:t>
      </w:r>
      <w:r>
        <w:rPr>
          <w:rFonts w:hint="eastAsia" w:eastAsia="楷体"/>
          <w:b/>
          <w:bCs/>
          <w:sz w:val="28"/>
        </w:rPr>
        <w:t>周子雄</w:t>
      </w:r>
      <w:r>
        <w:rPr>
          <w:rFonts w:eastAsia="楷体"/>
          <w:b/>
          <w:sz w:val="28"/>
        </w:rPr>
        <w:t xml:space="preserve"> </w:t>
      </w:r>
      <w:r>
        <w:rPr>
          <w:rFonts w:hint="eastAsia" w:eastAsia="楷体"/>
          <w:b/>
          <w:sz w:val="28"/>
        </w:rPr>
        <w:t xml:space="preserve"> </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outlineLvl w:val="9"/>
        <w:rPr>
          <w:rFonts w:eastAsia="楷体"/>
          <w:sz w:val="22"/>
          <w:szCs w:val="22"/>
        </w:rPr>
      </w:pPr>
      <w:r>
        <w:rPr>
          <w:rFonts w:hint="eastAsia" w:eastAsia="楷体"/>
          <w:sz w:val="22"/>
          <w:szCs w:val="22"/>
        </w:rPr>
        <w:t>巴爷科技上海有限公司董事长。他依据自身独特的风投思维与经验，创造了“互联网思维</w:t>
      </w:r>
      <w:r>
        <w:rPr>
          <w:rFonts w:eastAsia="楷体"/>
          <w:sz w:val="22"/>
          <w:szCs w:val="22"/>
        </w:rPr>
        <w:t>+</w:t>
      </w:r>
      <w:r>
        <w:rPr>
          <w:rFonts w:hint="eastAsia" w:eastAsia="楷体"/>
          <w:sz w:val="22"/>
          <w:szCs w:val="22"/>
        </w:rPr>
        <w:t>新农业</w:t>
      </w:r>
      <w:r>
        <w:rPr>
          <w:rFonts w:eastAsia="楷体"/>
          <w:sz w:val="22"/>
          <w:szCs w:val="22"/>
        </w:rPr>
        <w:t>+</w:t>
      </w:r>
      <w:r>
        <w:rPr>
          <w:rFonts w:hint="eastAsia" w:eastAsia="楷体"/>
          <w:sz w:val="22"/>
          <w:szCs w:val="22"/>
        </w:rPr>
        <w:t>资本思维”的新商业模式，巴爷科技致力于以“互联网</w:t>
      </w:r>
      <w:r>
        <w:rPr>
          <w:rFonts w:eastAsia="楷体"/>
          <w:sz w:val="22"/>
          <w:szCs w:val="22"/>
        </w:rPr>
        <w:t>+”</w:t>
      </w:r>
      <w:r>
        <w:rPr>
          <w:rFonts w:hint="eastAsia" w:eastAsia="楷体"/>
          <w:sz w:val="22"/>
          <w:szCs w:val="22"/>
        </w:rPr>
        <w:t>的方式整合传统行业，通过资源碎片化的形式，进行资源、产品再分配，以此推动传统行业进行颠覆性的转型。</w:t>
      </w:r>
    </w:p>
    <w:p>
      <w:pPr>
        <w:pStyle w:val="11"/>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eastAsia="楷体"/>
          <w:b/>
          <w:sz w:val="28"/>
        </w:rPr>
        <w:drawing>
          <wp:anchor distT="0" distB="0" distL="114300" distR="114300" simplePos="0" relativeHeight="251735040" behindDoc="0" locked="0" layoutInCell="1" allowOverlap="1">
            <wp:simplePos x="0" y="0"/>
            <wp:positionH relativeFrom="margin">
              <wp:posOffset>-236220</wp:posOffset>
            </wp:positionH>
            <wp:positionV relativeFrom="margin">
              <wp:posOffset>612775</wp:posOffset>
            </wp:positionV>
            <wp:extent cx="939165" cy="1216025"/>
            <wp:effectExtent l="15875" t="15875" r="73660" b="8255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39165" cy="12160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马建伟</w:t>
      </w:r>
      <w:r>
        <w:rPr>
          <w:rFonts w:eastAsia="楷体"/>
          <w:b/>
          <w:sz w:val="28"/>
        </w:rPr>
        <w:t xml:space="preserve"> </w:t>
      </w:r>
      <w:r>
        <w:rPr>
          <w:rFonts w:hint="eastAsia" w:eastAsia="楷体"/>
          <w:b/>
          <w:sz w:val="28"/>
        </w:rPr>
        <w:t xml:space="preserve"> </w:t>
      </w:r>
    </w:p>
    <w:p>
      <w:pPr>
        <w:keepNext w:val="0"/>
        <w:keepLines w:val="0"/>
        <w:pageBreakBefore w:val="0"/>
        <w:tabs>
          <w:tab w:val="left" w:pos="847"/>
        </w:tabs>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优势资本 （江苏）合伙人，主导优势资本江苏基金、优势时代新三板基金、优财中基金，投资项目包括江苏久信（002421收购）、江苏艾科（002077收购）、曼荼罗（835005）、越博动力系统股份、金石机器人（839127）、确成硅化（833656）、爱尚鲜花（836638）、摩邑诚、优蜜移动（834156）等项目，并任多家公司董事、监事。基金整体回报超过6倍。</w:t>
      </w:r>
    </w:p>
    <w:p>
      <w:pPr>
        <w:pStyle w:val="11"/>
        <w:keepNext w:val="0"/>
        <w:keepLines w:val="0"/>
        <w:pageBreakBefore w:val="0"/>
        <w:numPr>
          <w:ilvl w:val="0"/>
          <w:numId w:val="3"/>
        </w:numPr>
        <w:kinsoku/>
        <w:wordWrap/>
        <w:overflowPunct/>
        <w:topLinePunct w:val="0"/>
        <w:autoSpaceDE/>
        <w:autoSpaceDN/>
        <w:bidi w:val="0"/>
        <w:adjustRightInd/>
        <w:spacing w:line="360" w:lineRule="auto"/>
        <w:ind w:firstLineChars="0"/>
        <w:textAlignment w:val="auto"/>
        <w:outlineLvl w:val="9"/>
        <w:rPr>
          <w:rFonts w:eastAsia="楷体"/>
        </w:rPr>
      </w:pPr>
      <w:r>
        <w:rPr>
          <w:b/>
          <w:sz w:val="22"/>
          <w:szCs w:val="22"/>
        </w:rPr>
        <w:drawing>
          <wp:anchor distT="0" distB="0" distL="114300" distR="114300" simplePos="0" relativeHeight="251727872" behindDoc="0" locked="0" layoutInCell="1" allowOverlap="1">
            <wp:simplePos x="0" y="0"/>
            <wp:positionH relativeFrom="margin">
              <wp:posOffset>-233680</wp:posOffset>
            </wp:positionH>
            <wp:positionV relativeFrom="paragraph">
              <wp:posOffset>62865</wp:posOffset>
            </wp:positionV>
            <wp:extent cx="971550" cy="1216660"/>
            <wp:effectExtent l="0" t="0" r="0" b="2540"/>
            <wp:wrapSquare wrapText="bothSides"/>
            <wp:docPr id="125" name="图片 1" descr="IMG_1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descr="IMG_1499(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1550" cy="121666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授课导师：曾科</w:t>
      </w:r>
    </w:p>
    <w:p>
      <w:pPr>
        <w:keepNext w:val="0"/>
        <w:keepLines w:val="0"/>
        <w:pageBreakBefore w:val="0"/>
        <w:kinsoku/>
        <w:wordWrap/>
        <w:overflowPunct/>
        <w:topLinePunct w:val="0"/>
        <w:autoSpaceDE/>
        <w:autoSpaceDN/>
        <w:bidi w:val="0"/>
        <w:adjustRightInd/>
        <w:spacing w:line="360" w:lineRule="auto"/>
        <w:ind w:left="479"/>
        <w:textAlignment w:val="auto"/>
        <w:outlineLvl w:val="9"/>
        <w:rPr>
          <w:rFonts w:eastAsia="楷体"/>
          <w:sz w:val="22"/>
          <w:szCs w:val="22"/>
        </w:rPr>
      </w:pPr>
      <w:r>
        <w:rPr>
          <w:rFonts w:hint="eastAsia" w:eastAsia="楷体"/>
          <w:sz w:val="22"/>
          <w:szCs w:val="22"/>
        </w:rPr>
        <w:t>优势资本（西南）执行总裁，优势金控  合伙人，财富中国金融控股 合伙人，长期从事投资银行与基金管理工作，在产业地产、军工、新材料、农业及互联网行业有丰富的投资经验，在项目融资、市值管理及资本运作方面拥有丰富实战经验，成功投资服务企业：重庆天子之歌、小尼宅配、云南龙生茶业、脸谱中国等</w:t>
      </w:r>
      <w:r>
        <w:rPr>
          <w:rFonts w:hint="eastAsia" w:eastAsia="楷体"/>
          <w:sz w:val="22"/>
          <w:szCs w:val="22"/>
          <w:lang w:eastAsia="zh-CN"/>
        </w:rPr>
        <w:t>。</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sz w:val="22"/>
          <w:szCs w:val="22"/>
        </w:rPr>
        <w:drawing>
          <wp:anchor distT="0" distB="0" distL="114300" distR="114300" simplePos="0" relativeHeight="251748352" behindDoc="0" locked="0" layoutInCell="1" allowOverlap="1">
            <wp:simplePos x="0" y="0"/>
            <wp:positionH relativeFrom="margin">
              <wp:posOffset>-236220</wp:posOffset>
            </wp:positionH>
            <wp:positionV relativeFrom="margin">
              <wp:posOffset>4009390</wp:posOffset>
            </wp:positionV>
            <wp:extent cx="996315" cy="1279525"/>
            <wp:effectExtent l="15875" t="15875" r="73660" b="76200"/>
            <wp:wrapSquare wrapText="bothSides"/>
            <wp:docPr id="21" name="图片 16" descr="微信截图_2015120317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微信截图_2015120317054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96315" cy="12795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李  响</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响加速基金公司 主管合伙人，互联网投资专家、互联网营销专家；互联网极客与比特币大牛，交大特聘互联网营销讲师，国泰君安， 申银万国和东方证券的TMT（电信、科技、互联网）行业专家顾问，先后负责过盛大，美 团，七星等互联网企业O2O业务与国美，永乐，联华等传统企业的B2C业务，具有丰富的 互联网O2O实战营销与创业经验。</w:t>
      </w:r>
      <w:r>
        <w:rPr>
          <w:rFonts w:hint="eastAsia" w:eastAsia="楷体"/>
        </w:rPr>
        <w:t xml:space="preserve"> </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rPr>
        <w:drawing>
          <wp:anchor distT="0" distB="0" distL="114300" distR="114300" simplePos="0" relativeHeight="251749376" behindDoc="0" locked="0" layoutInCell="1" allowOverlap="1">
            <wp:simplePos x="0" y="0"/>
            <wp:positionH relativeFrom="margin">
              <wp:posOffset>-234315</wp:posOffset>
            </wp:positionH>
            <wp:positionV relativeFrom="margin">
              <wp:posOffset>5704840</wp:posOffset>
            </wp:positionV>
            <wp:extent cx="980440" cy="1269365"/>
            <wp:effectExtent l="15875" t="15875" r="70485" b="86360"/>
            <wp:wrapSquare wrapText="bothSides"/>
            <wp:docPr id="22" name="图片 14" descr="微信截图_20151203163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微信截图_2015120316385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80440" cy="126936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李志林</w:t>
      </w:r>
    </w:p>
    <w:p>
      <w:pPr>
        <w:keepNext w:val="0"/>
        <w:keepLines w:val="0"/>
        <w:pageBreakBefore w:val="0"/>
        <w:kinsoku/>
        <w:wordWrap/>
        <w:overflowPunct/>
        <w:topLinePunct w:val="0"/>
        <w:autoSpaceDE/>
        <w:autoSpaceDN/>
        <w:bidi w:val="0"/>
        <w:adjustRightInd/>
        <w:spacing w:line="360" w:lineRule="auto"/>
        <w:ind w:left="420"/>
        <w:textAlignment w:val="auto"/>
        <w:outlineLvl w:val="9"/>
        <w:rPr>
          <w:rFonts w:eastAsia="楷体"/>
          <w:sz w:val="22"/>
          <w:szCs w:val="22"/>
        </w:rPr>
      </w:pPr>
      <w:r>
        <w:rPr>
          <w:rFonts w:hint="eastAsia" w:eastAsia="楷体"/>
          <w:bCs/>
          <w:sz w:val="22"/>
          <w:szCs w:val="22"/>
        </w:rPr>
        <w:t>中国十大股王</w:t>
      </w:r>
      <w:r>
        <w:rPr>
          <w:rFonts w:hint="eastAsia" w:eastAsia="楷体"/>
          <w:sz w:val="22"/>
          <w:szCs w:val="22"/>
        </w:rPr>
        <w:t>，现任华东师范大学企业与经济发展研究所所长、主要著作有：《气论与中国传统思维方式》、《中西哲学比较面面观》、《价值与评价》等，曾应邀去美国和欧洲20多个国家考察，讲学交流。在全国证券投资者中拥有广泛的影响，经常去全国各地作讲座，以出众的理论思辨能力、演讲能力和实战技巧，使广大的投资者获益颇丰，颇受好评。</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50400" behindDoc="0" locked="0" layoutInCell="1" allowOverlap="1">
            <wp:simplePos x="0" y="0"/>
            <wp:positionH relativeFrom="margin">
              <wp:posOffset>-196850</wp:posOffset>
            </wp:positionH>
            <wp:positionV relativeFrom="margin">
              <wp:posOffset>7376795</wp:posOffset>
            </wp:positionV>
            <wp:extent cx="967105" cy="1240155"/>
            <wp:effectExtent l="15875" t="15875" r="83820" b="77470"/>
            <wp:wrapSquare wrapText="bothSides"/>
            <wp:docPr id="23" name="图片 16" descr="微信截图_2015120316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微信截图_201512031630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flipH="1">
                      <a:off x="0" y="0"/>
                      <a:ext cx="967105" cy="124015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傅忠红</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达晨创投  合伙人，10多年项目投资及企业管理经验，主投重点项目包括：天派电子、宏昌电子、移盟传媒、同济同捷、西安达刚、中南出版、金凰珠宝、尚品宅配等。 深圳市达晨创业投资有限公司投资总监，上海分公司总经理。曾担任广州市光电协会副会长，是国家中小企业创新基金的资深评审专家。</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4"/>
          <w:szCs w:val="22"/>
        </w:rPr>
        <w:drawing>
          <wp:anchor distT="0" distB="0" distL="114300" distR="114300" simplePos="0" relativeHeight="251751424" behindDoc="0" locked="0" layoutInCell="1" allowOverlap="1">
            <wp:simplePos x="0" y="0"/>
            <wp:positionH relativeFrom="margin">
              <wp:posOffset>-177800</wp:posOffset>
            </wp:positionH>
            <wp:positionV relativeFrom="margin">
              <wp:posOffset>558800</wp:posOffset>
            </wp:positionV>
            <wp:extent cx="982980" cy="1185545"/>
            <wp:effectExtent l="15875" t="15875" r="86995" b="749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82980" cy="11855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梁英杰</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凯鹏华盈 主管合伙人，曾在汇丰直接投资（亚洲）有限公司工作了超过了14年,他也有另外五年的投资/商业银行经验。直接参与了超过30家公司的投资，其中包括德信无线(Nasdaq: CNTF)，珠海炬力集成电路(Nasdaq: ACTS)，阿特斯太阳能（Nasdaq: CSIQ）和中国生物柴油(AIM: CBI.LN)。</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sz w:val="22"/>
          <w:szCs w:val="22"/>
        </w:rPr>
        <w:drawing>
          <wp:anchor distT="0" distB="0" distL="114300" distR="114300" simplePos="0" relativeHeight="251752448" behindDoc="0" locked="0" layoutInCell="1" allowOverlap="1">
            <wp:simplePos x="0" y="0"/>
            <wp:positionH relativeFrom="margin">
              <wp:posOffset>-167005</wp:posOffset>
            </wp:positionH>
            <wp:positionV relativeFrom="margin">
              <wp:posOffset>2286635</wp:posOffset>
            </wp:positionV>
            <wp:extent cx="985520" cy="1297940"/>
            <wp:effectExtent l="15875" t="15875" r="84455" b="7683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85520" cy="129794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周树明</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rPr>
      </w:pPr>
      <w:r>
        <w:rPr>
          <w:rFonts w:hint="eastAsia" w:eastAsia="楷体"/>
          <w:sz w:val="22"/>
          <w:szCs w:val="22"/>
        </w:rPr>
        <w:t>智放营销 董事长，十年外企实战经验，原百事可乐市场总监，曾创造过80.9%的市场占有率，居百事可乐全球第一，因此荣获百事可乐亚太地区最佳营销团队成员奖;2003年创办实战营销机构鼎联咨询，构建“系统营销”加贴身绑定式服务为国内上百家企业带来了业绩的飞速成长。</w:t>
      </w:r>
    </w:p>
    <w:p>
      <w:pPr>
        <w:pStyle w:val="11"/>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ascii="Helvetica" w:hAnsi="Helvetica" w:cs="Helvetica"/>
        </w:rPr>
        <w:drawing>
          <wp:anchor distT="0" distB="0" distL="114300" distR="114300" simplePos="0" relativeHeight="251754496" behindDoc="0" locked="0" layoutInCell="1" allowOverlap="1">
            <wp:simplePos x="0" y="0"/>
            <wp:positionH relativeFrom="margin">
              <wp:posOffset>-160020</wp:posOffset>
            </wp:positionH>
            <wp:positionV relativeFrom="paragraph">
              <wp:posOffset>55245</wp:posOffset>
            </wp:positionV>
            <wp:extent cx="985520" cy="1289050"/>
            <wp:effectExtent l="15875" t="15875" r="84455" b="857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t="6876" b="5966"/>
                    <a:stretch>
                      <a:fillRect/>
                    </a:stretch>
                  </pic:blipFill>
                  <pic:spPr>
                    <a:xfrm>
                      <a:off x="0" y="0"/>
                      <a:ext cx="985520" cy="128905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授课导师：周立</w:t>
      </w:r>
      <w:r>
        <w:rPr>
          <w:rFonts w:eastAsia="楷体"/>
          <w:b/>
          <w:sz w:val="28"/>
        </w:rPr>
        <w:t xml:space="preserve"> </w:t>
      </w:r>
      <w:r>
        <w:rPr>
          <w:rFonts w:hint="eastAsia" w:eastAsia="楷体"/>
          <w:b/>
          <w:sz w:val="28"/>
        </w:rPr>
        <w:t xml:space="preserve"> 教授</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清华大学经济管理学院会计系教授、北京国家会计学院兼职教授。曾兼任多家企业董事：清华企业集团、清华科技园、清华北方、清华鲁银、清华紫光比微、清华科威、清华河北科技园等。现为四家上市公司独立董事：中金黄金、北方国际、三元股份、英威腾。</w:t>
      </w:r>
    </w:p>
    <w:p>
      <w:pPr>
        <w:pStyle w:val="11"/>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hint="eastAsia" w:eastAsia="楷体"/>
          <w:b/>
          <w:sz w:val="28"/>
        </w:rPr>
        <w:drawing>
          <wp:anchor distT="0" distB="0" distL="114300" distR="114300" simplePos="0" relativeHeight="251747328" behindDoc="0" locked="0" layoutInCell="1" allowOverlap="1">
            <wp:simplePos x="0" y="0"/>
            <wp:positionH relativeFrom="column">
              <wp:posOffset>-151130</wp:posOffset>
            </wp:positionH>
            <wp:positionV relativeFrom="paragraph">
              <wp:posOffset>82550</wp:posOffset>
            </wp:positionV>
            <wp:extent cx="984250" cy="1264285"/>
            <wp:effectExtent l="15875" t="15875" r="85725" b="72390"/>
            <wp:wrapThrough wrapText="bothSides">
              <wp:wrapPolygon>
                <wp:start x="-348" y="-271"/>
                <wp:lineTo x="-348" y="22511"/>
                <wp:lineTo x="22645" y="22511"/>
                <wp:lineTo x="22645" y="-271"/>
                <wp:lineTo x="-348" y="-271"/>
              </wp:wrapPolygon>
            </wp:wrapThrough>
            <wp:docPr id="20" name="图片 20" descr="C:\Users\lenovo\Desktop\工作文件夹\李海宁个人资料\李海宁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工作文件夹\李海宁个人资料\李海宁照片\1.jpg"/>
                    <pic:cNvPicPr>
                      <a:picLocks noChangeAspect="1" noChangeArrowheads="1"/>
                    </pic:cNvPicPr>
                  </pic:nvPicPr>
                  <pic:blipFill>
                    <a:blip r:embed="rId28">
                      <a:extLst>
                        <a:ext uri="{28A0092B-C50C-407E-A947-70E740481C1C}">
                          <a14:useLocalDpi xmlns:a14="http://schemas.microsoft.com/office/drawing/2010/main" val="0"/>
                        </a:ext>
                      </a:extLst>
                    </a:blip>
                    <a:srcRect l="10550" t="13354" r="9645"/>
                    <a:stretch>
                      <a:fillRect/>
                    </a:stretch>
                  </pic:blipFill>
                  <pic:spPr>
                    <a:xfrm>
                      <a:off x="0" y="0"/>
                      <a:ext cx="984250" cy="126428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授课导师：李海宁</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rPr>
      </w:pPr>
      <w:r>
        <w:rPr>
          <w:rFonts w:hint="eastAsia" w:eastAsia="楷体"/>
          <w:sz w:val="22"/>
          <w:szCs w:val="22"/>
        </w:rPr>
        <w:t>招商证券投资银行总部董事，金融交易规划设计专家，资产证券化规划与设计专家，产业投资与产业并购顶层设计专家，重大产业重组与产业整合专家，北京大学、清华大学等多所高校企业家总裁班客座教授。拥有为近</w:t>
      </w:r>
      <w:r>
        <w:rPr>
          <w:rFonts w:eastAsia="楷体"/>
          <w:sz w:val="22"/>
          <w:szCs w:val="22"/>
        </w:rPr>
        <w:t>20</w:t>
      </w:r>
      <w:r>
        <w:rPr>
          <w:rFonts w:hint="eastAsia" w:eastAsia="楷体"/>
          <w:sz w:val="22"/>
          <w:szCs w:val="22"/>
        </w:rPr>
        <w:t>家超大型央企和国企提供资产重组、产业并购、股权融资、资产证券化等服务，累积融资和交易总额数百亿。</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【资本后E组织机构】</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 xml:space="preserve">       </w:t>
      </w:r>
      <w:r>
        <w:rPr>
          <w:rFonts w:hint="eastAsia" w:eastAsia="楷体"/>
          <w:lang w:val="en-US" w:eastAsia="zh-CN"/>
        </w:rPr>
        <w:t xml:space="preserve">  </w:t>
      </w:r>
      <w:r>
        <w:rPr>
          <w:rFonts w:hint="eastAsia" w:eastAsia="楷体"/>
        </w:rPr>
        <w:t>资本后EMBA由北清智库商学院与上海优势资本共同发起组织，引入全国顶尖教育和资本资源，得到红杉资本、中金</w:t>
      </w:r>
      <w:r>
        <w:rPr>
          <w:rFonts w:eastAsia="楷体"/>
        </w:rPr>
        <w:t>公司</w:t>
      </w:r>
      <w:r>
        <w:rPr>
          <w:rFonts w:hint="eastAsia" w:eastAsia="楷体"/>
        </w:rPr>
        <w:t>、德同资本、招商证券投行部等资本机构支持！</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*联合发起机构已经完成投资案例如下：</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 xml:space="preserve"> </w:t>
      </w:r>
      <w:r>
        <w:rPr>
          <w:rFonts w:eastAsia="楷体"/>
        </w:rPr>
        <w:drawing>
          <wp:inline distT="0" distB="0" distL="0" distR="0">
            <wp:extent cx="5486400" cy="3352800"/>
            <wp:effectExtent l="15875" t="15875" r="79375" b="793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9"/>
                    <a:stretch>
                      <a:fillRect/>
                    </a:stretch>
                  </pic:blipFill>
                  <pic:spPr>
                    <a:xfrm>
                      <a:off x="0" y="0"/>
                      <a:ext cx="5486400" cy="335280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eastAsia="楷体"/>
        </w:rPr>
        <w:drawing>
          <wp:inline distT="0" distB="0" distL="0" distR="0">
            <wp:extent cx="5486400" cy="33851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0"/>
                    <a:stretch>
                      <a:fillRect/>
                    </a:stretch>
                  </pic:blipFill>
                  <pic:spPr>
                    <a:xfrm>
                      <a:off x="0" y="0"/>
                      <a:ext cx="5486400" cy="338518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【招生对象】</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1、面临转型升级的传统产业企业家；</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2、期望快速对接资本市场的实业家；</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3、企业规模要求在一亿元资产以上。</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ascii="微软雅黑" w:hAnsi="微软雅黑" w:eastAsia="微软雅黑"/>
          <w:b/>
          <w:color w:val="FF0000"/>
          <w:sz w:val="28"/>
        </w:rPr>
        <w:t>【开班计划】</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rPr>
      </w:pPr>
      <w:r>
        <w:rPr>
          <w:rFonts w:hint="eastAsia" w:eastAsia="楷体"/>
        </w:rPr>
        <w:t xml:space="preserve">       卓越190商业领袖培育工程计划</w:t>
      </w:r>
      <w:r>
        <w:rPr>
          <w:rFonts w:hint="eastAsia" w:eastAsia="楷体"/>
          <w:lang w:val="en-US" w:eastAsia="zh-CN"/>
        </w:rPr>
        <w:t>第二批</w:t>
      </w:r>
      <w:r>
        <w:rPr>
          <w:rFonts w:hint="eastAsia" w:eastAsia="楷体"/>
        </w:rPr>
        <w:t>招生190名学员，学制1年，每月利用一个周末研习2-3天。</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lang w:val="en-US" w:eastAsia="zh-CN"/>
        </w:rPr>
      </w:pPr>
      <w:r>
        <w:rPr>
          <w:rFonts w:hint="eastAsia" w:ascii="微软雅黑" w:hAnsi="微软雅黑" w:eastAsia="微软雅黑"/>
          <w:b/>
          <w:color w:val="FF0000"/>
          <w:sz w:val="28"/>
        </w:rPr>
        <w:t>【</w:t>
      </w:r>
      <w:r>
        <w:rPr>
          <w:rFonts w:hint="eastAsia" w:ascii="微软雅黑" w:hAnsi="微软雅黑" w:eastAsia="微软雅黑"/>
          <w:b/>
          <w:color w:val="FF0000"/>
          <w:sz w:val="28"/>
          <w:lang w:val="en-US" w:eastAsia="zh-CN"/>
        </w:rPr>
        <w:t>开学时间</w:t>
      </w:r>
      <w:r>
        <w:rPr>
          <w:rFonts w:hint="eastAsia" w:ascii="微软雅黑" w:hAnsi="微软雅黑" w:eastAsia="微软雅黑"/>
          <w:b/>
          <w:color w:val="FF0000"/>
          <w:sz w:val="28"/>
        </w:rPr>
        <w:t>】</w:t>
      </w:r>
      <w:r>
        <w:rPr>
          <w:rFonts w:hint="eastAsia" w:eastAsia="楷体"/>
          <w:lang w:val="en-US" w:eastAsia="zh-CN"/>
        </w:rPr>
        <w:t>2019年5月25-26日</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【投资费用】</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课程学</w:t>
      </w:r>
      <w:r>
        <w:rPr>
          <w:rFonts w:eastAsia="楷体"/>
        </w:rPr>
        <w:t>费：</w:t>
      </w:r>
      <w:r>
        <w:rPr>
          <w:rFonts w:hint="eastAsia" w:eastAsia="楷体"/>
        </w:rPr>
        <w:t>1</w:t>
      </w:r>
      <w:r>
        <w:rPr>
          <w:rFonts w:hint="eastAsia" w:eastAsia="楷体"/>
          <w:lang w:val="en-US" w:eastAsia="zh-CN"/>
        </w:rPr>
        <w:t>6</w:t>
      </w:r>
      <w:r>
        <w:rPr>
          <w:rFonts w:hint="eastAsia" w:eastAsia="楷体"/>
        </w:rPr>
        <w:t>.8万元人民币</w:t>
      </w:r>
      <w:r>
        <w:rPr>
          <w:rFonts w:eastAsia="楷体"/>
        </w:rPr>
        <w:t>／</w:t>
      </w:r>
      <w:r>
        <w:rPr>
          <w:rFonts w:hint="eastAsia" w:eastAsia="楷体"/>
        </w:rPr>
        <w:t>人，</w:t>
      </w:r>
      <w:r>
        <w:rPr>
          <w:rFonts w:eastAsia="楷体"/>
        </w:rPr>
        <w:t>包括师资、讲义、场地费，不包括：学习和游学期间产生的食宿交通游览费用。</w:t>
      </w:r>
      <w:r>
        <w:rPr>
          <w:rFonts w:hint="eastAsia" w:eastAsia="楷体"/>
        </w:rPr>
        <w:t>导师前往企业实地考察所发生的差旅接待等费用由学员全权负责。赠送10万元私募股权基金原始股期权，签订赠股协议</w:t>
      </w:r>
      <w:r>
        <w:rPr>
          <w:rFonts w:eastAsia="楷体"/>
        </w:rPr>
        <w:t xml:space="preserve">  </w:t>
      </w:r>
      <w:r>
        <w:rPr>
          <w:rFonts w:hint="eastAsia" w:eastAsia="楷体"/>
        </w:rPr>
        <w:t>；</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【申请流程】</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提交《资格审查表》——招生办公室审核——缴纳学费——签订期权赠予和代持协议——入班学习</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【招生办公室】</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lang w:val="en-US" w:eastAsia="zh-CN"/>
        </w:rPr>
      </w:pPr>
      <w:r>
        <w:rPr>
          <w:rFonts w:hint="eastAsia" w:eastAsia="楷体"/>
        </w:rPr>
        <w:t>联</w:t>
      </w:r>
      <w:r>
        <w:rPr>
          <w:rFonts w:hint="eastAsia" w:eastAsia="楷体"/>
          <w:lang w:val="en-US" w:eastAsia="zh-CN"/>
        </w:rPr>
        <w:t xml:space="preserve">  </w:t>
      </w:r>
      <w:r>
        <w:rPr>
          <w:rFonts w:hint="eastAsia" w:eastAsia="楷体"/>
        </w:rPr>
        <w:t>系</w:t>
      </w:r>
      <w:r>
        <w:rPr>
          <w:rFonts w:hint="eastAsia" w:eastAsia="楷体"/>
          <w:lang w:val="en-US" w:eastAsia="zh-CN"/>
        </w:rPr>
        <w:t xml:space="preserve">  </w:t>
      </w:r>
      <w:r>
        <w:rPr>
          <w:rFonts w:hint="eastAsia" w:eastAsia="楷体"/>
        </w:rPr>
        <w:t>人：</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lang w:val="en-US" w:eastAsia="zh-CN"/>
        </w:rPr>
      </w:pPr>
      <w:r>
        <w:rPr>
          <w:rFonts w:hint="eastAsia" w:eastAsia="楷体"/>
        </w:rPr>
        <w:t>联系电话：</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微软雅黑" w:hAnsi="微软雅黑" w:eastAsia="微软雅黑"/>
          <w:b/>
          <w:color w:val="C00000"/>
          <w:sz w:val="44"/>
        </w:rPr>
      </w:pPr>
      <w:r>
        <w:rPr>
          <w:rFonts w:hint="eastAsia" w:ascii="微软雅黑" w:hAnsi="微软雅黑" w:eastAsia="微软雅黑"/>
          <w:b/>
          <w:color w:val="C00000"/>
          <w:sz w:val="44"/>
        </w:rPr>
        <w:t>资本后EMBA董事长</w:t>
      </w:r>
      <w:r>
        <w:rPr>
          <w:rFonts w:ascii="微软雅黑" w:hAnsi="微软雅黑" w:eastAsia="微软雅黑"/>
          <w:b/>
          <w:color w:val="C00000"/>
          <w:sz w:val="44"/>
        </w:rPr>
        <w:t>高端项目</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黑体" w:eastAsia="黑体"/>
          <w:b/>
          <w:sz w:val="44"/>
          <w:szCs w:val="44"/>
        </w:rPr>
      </w:pPr>
      <w:r>
        <w:rPr>
          <w:rFonts w:hint="eastAsia" w:ascii="黑体" w:eastAsia="黑体"/>
          <w:b/>
          <w:sz w:val="44"/>
          <w:szCs w:val="44"/>
        </w:rPr>
        <w:t>学员资格审查表</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黑体" w:hAnsi="宋体" w:eastAsia="黑体"/>
          <w:szCs w:val="21"/>
        </w:rPr>
      </w:pPr>
      <w:bookmarkStart w:id="0" w:name="OLE_LINK1"/>
      <w:r>
        <w:rPr>
          <w:rFonts w:hint="eastAsia" w:ascii="黑体" w:hAnsi="宋体" w:eastAsia="黑体"/>
          <w:b/>
          <w:szCs w:val="21"/>
        </w:rPr>
        <w:t xml:space="preserve">                                                                </w:t>
      </w:r>
      <w:r>
        <w:rPr>
          <w:rFonts w:hint="eastAsia" w:ascii="黑体" w:hAnsi="宋体" w:eastAsia="黑体"/>
          <w:szCs w:val="21"/>
        </w:rPr>
        <w:t xml:space="preserve"> 编号：</w:t>
      </w:r>
    </w:p>
    <w:tbl>
      <w:tblPr>
        <w:tblStyle w:val="5"/>
        <w:tblW w:w="9675" w:type="dxa"/>
        <w:tblInd w:w="-7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825"/>
        <w:gridCol w:w="3629"/>
        <w:gridCol w:w="6"/>
        <w:gridCol w:w="46"/>
        <w:gridCol w:w="986"/>
        <w:gridCol w:w="6"/>
        <w:gridCol w:w="420"/>
        <w:gridCol w:w="120"/>
        <w:gridCol w:w="1197"/>
        <w:gridCol w:w="63"/>
        <w:gridCol w:w="13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96" w:hRule="atLeast"/>
        </w:trPr>
        <w:tc>
          <w:tcPr>
            <w:tcW w:w="9675" w:type="dxa"/>
            <w:gridSpan w:val="11"/>
            <w:shd w:val="clear" w:color="auto" w:fill="8DB3E2"/>
            <w:vAlign w:val="center"/>
          </w:tcPr>
          <w:p>
            <w:pPr>
              <w:keepNext w:val="0"/>
              <w:keepLines w:val="0"/>
              <w:pageBreakBefore w:val="0"/>
              <w:kinsoku/>
              <w:wordWrap/>
              <w:overflowPunct/>
              <w:topLinePunct w:val="0"/>
              <w:autoSpaceDE/>
              <w:autoSpaceDN/>
              <w:bidi w:val="0"/>
              <w:adjustRightInd/>
              <w:snapToGrid w:val="0"/>
              <w:spacing w:before="40" w:line="360" w:lineRule="auto"/>
              <w:ind w:firstLine="240" w:firstLineChars="100"/>
              <w:textAlignment w:val="auto"/>
              <w:outlineLvl w:val="9"/>
              <w:rPr>
                <w:rFonts w:ascii="宋体" w:hAnsi="宋体"/>
              </w:rPr>
            </w:pPr>
            <w:r>
              <w:rPr>
                <w:rFonts w:hint="eastAsia" w:ascii="宋体" w:hAnsi="宋体"/>
                <w:b/>
                <w:bCs/>
              </w:rPr>
              <w:t xml:space="preserve">1、基本情况 </w:t>
            </w:r>
            <w:r>
              <w:rPr>
                <w:rFonts w:hint="eastAsia" w:ascii="宋体" w:hAnsi="宋体"/>
                <w:b/>
                <w:bCs/>
                <w:szCs w:val="21"/>
              </w:rPr>
              <w:t>（请用</w:t>
            </w:r>
            <w:r>
              <w:rPr>
                <w:rFonts w:hint="eastAsia" w:ascii="宋体" w:hAnsi="宋体"/>
                <w:szCs w:val="21"/>
              </w:rPr>
              <w:t>“</w:t>
            </w:r>
            <w:r>
              <w:rPr>
                <w:rFonts w:hint="eastAsia" w:ascii="宋体" w:hAnsi="宋体"/>
                <w:sz w:val="18"/>
              </w:rPr>
              <w:fldChar w:fldCharType="begin"/>
            </w:r>
            <w:r>
              <w:rPr>
                <w:rFonts w:hint="eastAsia" w:ascii="宋体" w:hAnsi="宋体"/>
                <w:sz w:val="18"/>
              </w:rPr>
              <w:instrText xml:space="preserve"> EQ \o\ac(□,</w:instrText>
            </w:r>
            <w:r>
              <w:rPr>
                <w:rFonts w:hint="eastAsia" w:ascii="宋体" w:hAnsi="宋体"/>
                <w:position w:val="2"/>
                <w:sz w:val="12"/>
              </w:rPr>
              <w:instrText xml:space="preserve">√</w:instrText>
            </w:r>
            <w:r>
              <w:rPr>
                <w:rFonts w:hint="eastAsia" w:ascii="宋体" w:hAnsi="宋体"/>
                <w:sz w:val="18"/>
              </w:rPr>
              <w:instrText xml:space="preserve">)</w:instrText>
            </w:r>
            <w:r>
              <w:rPr>
                <w:rFonts w:hint="eastAsia" w:ascii="宋体" w:hAnsi="宋体"/>
                <w:sz w:val="18"/>
              </w:rPr>
              <w:fldChar w:fldCharType="end"/>
            </w:r>
            <w:r>
              <w:rPr>
                <w:rFonts w:hint="eastAsia" w:ascii="宋体" w:hAnsi="宋体"/>
                <w:szCs w:val="21"/>
              </w:rPr>
              <w:t>”</w:t>
            </w:r>
            <w:r>
              <w:rPr>
                <w:rFonts w:hint="eastAsia" w:ascii="宋体" w:hAnsi="宋体"/>
                <w:b/>
                <w:szCs w:val="21"/>
              </w:rPr>
              <w:t>标注选项</w:t>
            </w:r>
            <w:r>
              <w:rPr>
                <w:rFonts w:hint="eastAsia" w:ascii="宋体" w:hAnsi="宋体"/>
                <w:b/>
                <w:bC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姓    名</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性    别</w:t>
            </w:r>
          </w:p>
        </w:tc>
        <w:tc>
          <w:tcPr>
            <w:tcW w:w="1743" w:type="dxa"/>
            <w:gridSpan w:val="4"/>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□男      □女</w:t>
            </w:r>
          </w:p>
        </w:tc>
        <w:tc>
          <w:tcPr>
            <w:tcW w:w="1440" w:type="dxa"/>
            <w:gridSpan w:val="2"/>
            <w:vMerge w:val="restart"/>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籍    贯</w:t>
            </w:r>
          </w:p>
        </w:tc>
        <w:tc>
          <w:tcPr>
            <w:tcW w:w="6410" w:type="dxa"/>
            <w:gridSpan w:val="8"/>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省（自治区/直辖市）              市（县）</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国    籍</w:t>
            </w:r>
          </w:p>
        </w:tc>
        <w:tc>
          <w:tcPr>
            <w:tcW w:w="3635" w:type="dxa"/>
            <w:gridSpan w:val="2"/>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□中国   □其他</w:t>
            </w:r>
            <w:r>
              <w:rPr>
                <w:rFonts w:ascii="宋体" w:hAnsi="宋体"/>
                <w:sz w:val="18"/>
              </w:rPr>
              <w:t>____________</w:t>
            </w:r>
          </w:p>
        </w:tc>
        <w:tc>
          <w:tcPr>
            <w:tcW w:w="1038" w:type="dxa"/>
            <w:gridSpan w:val="3"/>
            <w:tcBorders>
              <w:left w:val="single" w:color="auto" w:sz="4" w:space="0"/>
            </w:tcBorders>
            <w:vAlign w:val="center"/>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婚姻状况</w:t>
            </w:r>
          </w:p>
        </w:tc>
        <w:tc>
          <w:tcPr>
            <w:tcW w:w="1737" w:type="dxa"/>
            <w:gridSpan w:val="3"/>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□单身    □已婚</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民    族</w:t>
            </w:r>
          </w:p>
        </w:tc>
        <w:tc>
          <w:tcPr>
            <w:tcW w:w="3629" w:type="dxa"/>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□汉族   □少数民族（请注明）</w:t>
            </w:r>
            <w:r>
              <w:rPr>
                <w:rFonts w:ascii="宋体" w:hAnsi="宋体"/>
                <w:sz w:val="18"/>
              </w:rPr>
              <w:t>_____</w:t>
            </w:r>
          </w:p>
        </w:tc>
        <w:tc>
          <w:tcPr>
            <w:tcW w:w="1044" w:type="dxa"/>
            <w:gridSpan w:val="4"/>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政治面貌</w:t>
            </w:r>
          </w:p>
        </w:tc>
        <w:tc>
          <w:tcPr>
            <w:tcW w:w="1737" w:type="dxa"/>
            <w:gridSpan w:val="3"/>
            <w:tcBorders>
              <w:lef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群众</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572" w:hRule="atLeast"/>
        </w:trPr>
        <w:tc>
          <w:tcPr>
            <w:tcW w:w="1825" w:type="dxa"/>
          </w:tcPr>
          <w:p>
            <w:pPr>
              <w:keepNext w:val="0"/>
              <w:keepLines w:val="0"/>
              <w:pageBreakBefore w:val="0"/>
              <w:kinsoku/>
              <w:wordWrap/>
              <w:overflowPunct/>
              <w:topLinePunct w:val="0"/>
              <w:autoSpaceDE/>
              <w:autoSpaceDN/>
              <w:bidi w:val="0"/>
              <w:adjustRightInd/>
              <w:snapToGrid w:val="0"/>
              <w:spacing w:before="40" w:after="120" w:afterLines="50" w:line="360" w:lineRule="auto"/>
              <w:jc w:val="center"/>
              <w:textAlignment w:val="auto"/>
              <w:outlineLvl w:val="9"/>
              <w:rPr>
                <w:rFonts w:ascii="宋体" w:hAnsi="宋体"/>
                <w:sz w:val="18"/>
              </w:rPr>
            </w:pPr>
            <w:r>
              <w:rPr>
                <w:rFonts w:hint="eastAsia" w:ascii="宋体" w:hAnsi="宋体"/>
                <w:sz w:val="18"/>
              </w:rPr>
              <w:t>身份证件号码</w:t>
            </w:r>
          </w:p>
        </w:tc>
        <w:tc>
          <w:tcPr>
            <w:tcW w:w="6410" w:type="dxa"/>
            <w:gridSpan w:val="8"/>
            <w:vAlign w:val="center"/>
          </w:tcPr>
          <w:p>
            <w:pPr>
              <w:keepNext w:val="0"/>
              <w:keepLines w:val="0"/>
              <w:pageBreakBefore w:val="0"/>
              <w:kinsoku/>
              <w:wordWrap/>
              <w:overflowPunct/>
              <w:topLinePunct w:val="0"/>
              <w:autoSpaceDE/>
              <w:autoSpaceDN/>
              <w:bidi w:val="0"/>
              <w:adjustRightInd/>
              <w:snapToGrid w:val="0"/>
              <w:spacing w:before="100" w:beforeAutospacing="1" w:line="360" w:lineRule="auto"/>
              <w:textAlignment w:val="auto"/>
              <w:outlineLvl w:val="9"/>
              <w:rPr>
                <w:rFonts w:ascii="宋体" w:hAnsi="宋体"/>
                <w:sz w:val="18"/>
              </w:rPr>
            </w:pPr>
            <w:r>
              <w:rPr>
                <w:rFonts w:hint="eastAsia" w:ascii="宋体" w:hAnsi="宋体"/>
                <w:sz w:val="18"/>
              </w:rPr>
              <w:t>类别：□身份证 □护照 □港澳台居民大陆通行证 □其他 （请注明）</w:t>
            </w:r>
            <w:r>
              <w:rPr>
                <w:rFonts w:ascii="宋体" w:hAnsi="宋体"/>
                <w:sz w:val="18"/>
              </w:rPr>
              <w:t>___________</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办公电话</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 xml:space="preserve">手  </w:t>
            </w:r>
            <w:r>
              <w:rPr>
                <w:rFonts w:ascii="宋体" w:hAnsi="宋体"/>
                <w:sz w:val="18"/>
              </w:rPr>
              <w:t xml:space="preserve">  </w:t>
            </w:r>
            <w:r>
              <w:rPr>
                <w:rFonts w:hint="eastAsia" w:ascii="宋体" w:hAnsi="宋体"/>
                <w:sz w:val="18"/>
              </w:rPr>
              <w:t>机</w:t>
            </w:r>
          </w:p>
        </w:tc>
        <w:tc>
          <w:tcPr>
            <w:tcW w:w="3183" w:type="dxa"/>
            <w:gridSpan w:val="6"/>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家庭电话</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传</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真</w:t>
            </w:r>
          </w:p>
        </w:tc>
        <w:tc>
          <w:tcPr>
            <w:tcW w:w="3183" w:type="dxa"/>
            <w:gridSpan w:val="6"/>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ascii="宋体" w:hAnsi="宋体"/>
                <w:sz w:val="18"/>
              </w:rPr>
              <w:t>E-mail</w:t>
            </w:r>
          </w:p>
        </w:tc>
        <w:tc>
          <w:tcPr>
            <w:tcW w:w="7850" w:type="dxa"/>
            <w:gridSpan w:val="10"/>
          </w:tcPr>
          <w:p>
            <w:pPr>
              <w:pStyle w:val="3"/>
              <w:keepNext w:val="0"/>
              <w:keepLines w:val="0"/>
              <w:pageBreakBefore w:val="0"/>
              <w:tabs>
                <w:tab w:val="center" w:pos="4320"/>
                <w:tab w:val="right" w:pos="8640"/>
                <w:tab w:val="clear" w:pos="4153"/>
                <w:tab w:val="clear" w:pos="8306"/>
              </w:tabs>
              <w:kinsoku/>
              <w:wordWrap/>
              <w:overflowPunct/>
              <w:topLinePunct w:val="0"/>
              <w:autoSpaceDE/>
              <w:autoSpaceDN/>
              <w:bidi w:val="0"/>
              <w:adjustRightInd/>
              <w:spacing w:before="40" w:line="360" w:lineRule="auto"/>
              <w:textAlignment w:val="auto"/>
              <w:outlineLvl w:val="9"/>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97" w:hRule="atLeast"/>
        </w:trPr>
        <w:tc>
          <w:tcPr>
            <w:tcW w:w="9675" w:type="dxa"/>
            <w:gridSpan w:val="11"/>
            <w:shd w:val="clear" w:color="auto" w:fill="8DB3E2"/>
            <w:vAlign w:val="center"/>
          </w:tcPr>
          <w:p>
            <w:pPr>
              <w:keepNext w:val="0"/>
              <w:keepLines w:val="0"/>
              <w:pageBreakBefore w:val="0"/>
              <w:tabs>
                <w:tab w:val="left" w:pos="422"/>
              </w:tabs>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b/>
                <w:bCs/>
              </w:rPr>
              <w:t>2、工作背景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工作经验</w:t>
            </w:r>
          </w:p>
        </w:tc>
        <w:tc>
          <w:tcPr>
            <w:tcW w:w="7850" w:type="dxa"/>
            <w:gridSpan w:val="10"/>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全职工作时间</w:t>
            </w:r>
            <w:r>
              <w:rPr>
                <w:rFonts w:hint="eastAsia" w:ascii="宋体" w:hAnsi="宋体"/>
                <w:sz w:val="18"/>
                <w:u w:val="single"/>
              </w:rPr>
              <w:t xml:space="preserve">            </w:t>
            </w:r>
            <w:r>
              <w:rPr>
                <w:rFonts w:hint="eastAsia" w:ascii="宋体" w:hAnsi="宋体"/>
                <w:sz w:val="18"/>
              </w:rPr>
              <w:t>年                担任管理工作时间</w:t>
            </w:r>
            <w:r>
              <w:rPr>
                <w:rFonts w:hint="eastAsia" w:ascii="宋体" w:hAnsi="宋体"/>
                <w:sz w:val="18"/>
                <w:u w:val="single"/>
              </w:rPr>
              <w:t xml:space="preserve">        </w:t>
            </w:r>
            <w:r>
              <w:rPr>
                <w:rFonts w:hint="eastAsia" w:ascii="宋体" w:hAnsi="宋体"/>
                <w:sz w:val="18"/>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现任单位</w:t>
            </w:r>
          </w:p>
        </w:tc>
        <w:tc>
          <w:tcPr>
            <w:tcW w:w="5213" w:type="dxa"/>
            <w:gridSpan w:val="7"/>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p>
        </w:tc>
        <w:tc>
          <w:tcPr>
            <w:tcW w:w="1260" w:type="dxa"/>
            <w:gridSpan w:val="2"/>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担任职务</w:t>
            </w:r>
          </w:p>
        </w:tc>
        <w:tc>
          <w:tcPr>
            <w:tcW w:w="1377" w:type="dxa"/>
            <w:tcBorders>
              <w:lef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jc w:val="center"/>
              <w:textAlignment w:val="auto"/>
              <w:outlineLvl w:val="9"/>
              <w:rPr>
                <w:rFonts w:ascii="宋体" w:hAnsi="宋体"/>
                <w:sz w:val="18"/>
              </w:rPr>
            </w:pPr>
            <w:r>
              <w:rPr>
                <w:rFonts w:hint="eastAsia" w:ascii="宋体" w:hAnsi="宋体"/>
                <w:sz w:val="18"/>
              </w:rPr>
              <w:t>公司总资产</w:t>
            </w:r>
          </w:p>
        </w:tc>
        <w:tc>
          <w:tcPr>
            <w:tcW w:w="3681" w:type="dxa"/>
            <w:gridSpan w:val="3"/>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p>
        </w:tc>
        <w:tc>
          <w:tcPr>
            <w:tcW w:w="1412" w:type="dxa"/>
            <w:gridSpan w:val="3"/>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r>
              <w:rPr>
                <w:rFonts w:hint="eastAsia" w:ascii="宋体" w:hAnsi="宋体"/>
                <w:sz w:val="18"/>
              </w:rPr>
              <w:t>公司上年销售额</w:t>
            </w:r>
          </w:p>
        </w:tc>
        <w:tc>
          <w:tcPr>
            <w:tcW w:w="2757" w:type="dxa"/>
            <w:gridSpan w:val="4"/>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r>
              <w:rPr>
                <w:rFonts w:hint="eastAsia" w:ascii="宋体" w:hAnsi="宋体"/>
                <w:sz w:val="18"/>
              </w:rPr>
              <w:t xml:space="preserve"> </w:t>
            </w:r>
            <w:r>
              <w:rPr>
                <w:rFonts w:hint="eastAsia" w:ascii="宋体" w:hAnsi="宋体"/>
                <w:sz w:val="18"/>
                <w:u w:val="single"/>
              </w:rPr>
              <w:t xml:space="preserve">                 </w:t>
            </w:r>
            <w:r>
              <w:rPr>
                <w:rFonts w:hint="eastAsia" w:ascii="宋体" w:hAnsi="宋体"/>
                <w:sz w:val="18"/>
              </w:rPr>
              <w:t>（亿元）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企业性质</w:t>
            </w:r>
          </w:p>
        </w:tc>
        <w:tc>
          <w:tcPr>
            <w:tcW w:w="6410" w:type="dxa"/>
            <w:gridSpan w:val="8"/>
          </w:tcPr>
          <w:p>
            <w:pPr>
              <w:keepNext w:val="0"/>
              <w:keepLines w:val="0"/>
              <w:pageBreakBefore w:val="0"/>
              <w:kinsoku/>
              <w:wordWrap/>
              <w:overflowPunct/>
              <w:topLinePunct w:val="0"/>
              <w:autoSpaceDE/>
              <w:autoSpaceDN/>
              <w:bidi w:val="0"/>
              <w:adjustRightInd/>
              <w:snapToGrid w:val="0"/>
              <w:spacing w:before="40" w:line="360" w:lineRule="auto"/>
              <w:ind w:left="-19" w:leftChars="-8"/>
              <w:textAlignment w:val="auto"/>
              <w:outlineLvl w:val="9"/>
              <w:rPr>
                <w:rFonts w:ascii="宋体" w:hAnsi="宋体"/>
                <w:sz w:val="18"/>
              </w:rPr>
            </w:pPr>
            <w:r>
              <w:rPr>
                <w:rFonts w:hint="eastAsia" w:ascii="宋体" w:hAnsi="宋体"/>
                <w:sz w:val="18"/>
              </w:rPr>
              <w:t>□国营</w:t>
            </w:r>
            <w:r>
              <w:rPr>
                <w:rFonts w:ascii="宋体" w:hAnsi="宋体"/>
                <w:sz w:val="18"/>
              </w:rPr>
              <w:t xml:space="preserve"> </w:t>
            </w:r>
            <w:r>
              <w:rPr>
                <w:rFonts w:hint="eastAsia" w:ascii="宋体" w:hAnsi="宋体"/>
                <w:sz w:val="18"/>
              </w:rPr>
              <w:t>□民营</w:t>
            </w:r>
            <w:r>
              <w:rPr>
                <w:rFonts w:ascii="宋体" w:hAnsi="宋体"/>
                <w:sz w:val="18"/>
              </w:rPr>
              <w:t xml:space="preserve"> </w:t>
            </w:r>
            <w:r>
              <w:rPr>
                <w:rFonts w:hint="eastAsia" w:ascii="宋体" w:hAnsi="宋体"/>
                <w:sz w:val="18"/>
              </w:rPr>
              <w:t>□外商独资</w:t>
            </w:r>
            <w:r>
              <w:rPr>
                <w:rFonts w:ascii="宋体" w:hAnsi="宋体"/>
                <w:sz w:val="18"/>
              </w:rPr>
              <w:t xml:space="preserve">  </w:t>
            </w:r>
            <w:r>
              <w:rPr>
                <w:rFonts w:hint="eastAsia" w:ascii="宋体" w:hAnsi="宋体"/>
                <w:sz w:val="18"/>
              </w:rPr>
              <w:t>□中外合资</w:t>
            </w:r>
            <w:r>
              <w:rPr>
                <w:rFonts w:ascii="宋体" w:hAnsi="宋体"/>
                <w:sz w:val="18"/>
              </w:rPr>
              <w:t xml:space="preserve">   </w:t>
            </w:r>
            <w:r>
              <w:rPr>
                <w:rFonts w:hint="eastAsia" w:ascii="宋体" w:hAnsi="宋体"/>
                <w:sz w:val="18"/>
              </w:rPr>
              <w:t>其它（请注明）</w:t>
            </w:r>
            <w:r>
              <w:rPr>
                <w:rFonts w:ascii="宋体" w:hAnsi="宋体"/>
                <w:sz w:val="18"/>
              </w:rPr>
              <w:t xml:space="preserve"> __</w:t>
            </w:r>
            <w:r>
              <w:rPr>
                <w:rFonts w:hint="eastAsia" w:ascii="宋体" w:hAnsi="宋体"/>
                <w:sz w:val="18"/>
              </w:rPr>
              <w:t>民营</w:t>
            </w:r>
            <w:r>
              <w:rPr>
                <w:rFonts w:ascii="宋体" w:hAnsi="宋体"/>
                <w:sz w:val="18"/>
              </w:rPr>
              <w:t>________</w:t>
            </w:r>
          </w:p>
        </w:tc>
        <w:tc>
          <w:tcPr>
            <w:tcW w:w="1440" w:type="dxa"/>
            <w:gridSpan w:val="2"/>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jc w:val="center"/>
              <w:textAlignment w:val="auto"/>
              <w:outlineLvl w:val="9"/>
              <w:rPr>
                <w:rFonts w:ascii="宋体" w:hAnsi="宋体"/>
                <w:sz w:val="18"/>
              </w:rPr>
            </w:pPr>
            <w:r>
              <w:rPr>
                <w:rFonts w:hint="eastAsia" w:ascii="宋体" w:hAnsi="宋体"/>
                <w:sz w:val="18"/>
              </w:rPr>
              <w:t>股份制公司  □是  □否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788" w:hRule="atLeast"/>
        </w:trPr>
        <w:tc>
          <w:tcPr>
            <w:tcW w:w="1825" w:type="dxa"/>
            <w:vAlign w:val="center"/>
          </w:tcPr>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sz w:val="18"/>
                <w:szCs w:val="18"/>
              </w:rPr>
            </w:pPr>
            <w:r>
              <w:rPr>
                <w:rFonts w:hint="eastAsia" w:ascii="宋体" w:hAnsi="宋体"/>
                <w:sz w:val="18"/>
                <w:szCs w:val="18"/>
              </w:rPr>
              <w:t>资格审核</w:t>
            </w:r>
          </w:p>
        </w:tc>
        <w:tc>
          <w:tcPr>
            <w:tcW w:w="7850" w:type="dxa"/>
            <w:gridSpan w:val="10"/>
            <w:vAlign w:val="center"/>
          </w:tcPr>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rPr>
            </w:pPr>
          </w:p>
          <w:p>
            <w:pPr>
              <w:pStyle w:val="15"/>
              <w:keepNext w:val="0"/>
              <w:keepLines w:val="0"/>
              <w:pageBreakBefore w:val="0"/>
              <w:kinsoku/>
              <w:wordWrap/>
              <w:overflowPunct/>
              <w:topLinePunct w:val="0"/>
              <w:autoSpaceDE/>
              <w:autoSpaceDN/>
              <w:bidi w:val="0"/>
              <w:adjustRightInd/>
              <w:spacing w:before="0" w:beforeLines="0" w:after="120" w:line="360" w:lineRule="auto"/>
              <w:textAlignment w:val="auto"/>
              <w:outlineLvl w:val="9"/>
              <w:rPr>
                <w:rFonts w:ascii="宋体" w:hAnsi="宋体" w:eastAsia="宋体"/>
              </w:rPr>
            </w:pPr>
          </w:p>
          <w:p>
            <w:pPr>
              <w:pStyle w:val="15"/>
              <w:keepNext w:val="0"/>
              <w:keepLines w:val="0"/>
              <w:pageBreakBefore w:val="0"/>
              <w:kinsoku/>
              <w:wordWrap/>
              <w:overflowPunct/>
              <w:topLinePunct w:val="0"/>
              <w:autoSpaceDE/>
              <w:autoSpaceDN/>
              <w:bidi w:val="0"/>
              <w:adjustRightInd/>
              <w:spacing w:before="0" w:beforeLines="0" w:after="120" w:line="360" w:lineRule="auto"/>
              <w:textAlignment w:val="auto"/>
              <w:outlineLvl w:val="9"/>
              <w:rPr>
                <w:rFonts w:ascii="宋体" w:hAnsi="宋体" w:eastAsia="宋体"/>
                <w:sz w:val="18"/>
                <w:szCs w:val="18"/>
              </w:rPr>
            </w:pPr>
            <w:r>
              <w:rPr>
                <w:rFonts w:hint="eastAsia" w:ascii="宋体" w:hAnsi="宋体" w:eastAsia="宋体"/>
              </w:rPr>
              <w:t xml:space="preserve">                            </w:t>
            </w:r>
            <w:r>
              <w:rPr>
                <w:rFonts w:hint="eastAsia" w:ascii="宋体" w:hAnsi="宋体" w:eastAsia="宋体"/>
                <w:sz w:val="18"/>
                <w:szCs w:val="18"/>
              </w:rPr>
              <w:t>审核人签字：</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rPr>
            </w:pPr>
            <w:r>
              <w:rPr>
                <w:rFonts w:hint="eastAsia" w:ascii="宋体" w:hAnsi="宋体"/>
                <w:sz w:val="18"/>
                <w:szCs w:val="18"/>
              </w:rPr>
              <w:t xml:space="preserve">                                          年  月  日    （中心公章）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090" w:hRule="atLeast"/>
        </w:trPr>
        <w:tc>
          <w:tcPr>
            <w:tcW w:w="1825" w:type="dxa"/>
            <w:tcBorders>
              <w:bottom w:val="single" w:color="000000" w:sz="6" w:space="0"/>
            </w:tcBorders>
            <w:vAlign w:val="center"/>
          </w:tcPr>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sz w:val="18"/>
                <w:szCs w:val="18"/>
              </w:rPr>
            </w:pPr>
            <w:r>
              <w:rPr>
                <w:rFonts w:hint="eastAsia" w:ascii="宋体" w:hAnsi="宋体"/>
                <w:sz w:val="18"/>
                <w:szCs w:val="18"/>
              </w:rPr>
              <w:t>备注</w:t>
            </w:r>
          </w:p>
        </w:tc>
        <w:tc>
          <w:tcPr>
            <w:tcW w:w="7850" w:type="dxa"/>
            <w:gridSpan w:val="10"/>
            <w:tcBorders>
              <w:bottom w:val="single" w:color="000000" w:sz="6" w:space="0"/>
            </w:tcBorders>
            <w:vAlign w:val="center"/>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sz w:val="18"/>
                <w:szCs w:val="18"/>
              </w:rPr>
            </w:pPr>
            <w:r>
              <w:rPr>
                <w:rFonts w:hint="eastAsia" w:ascii="宋体" w:hAnsi="宋体"/>
                <w:sz w:val="18"/>
                <w:szCs w:val="18"/>
              </w:rPr>
              <w:t>请务必认真完成本报名表，所有内容要如实填写，不得空格。</w:t>
            </w:r>
          </w:p>
        </w:tc>
      </w:tr>
      <w:bookmarkEnd w:id="0"/>
    </w:tbl>
    <w:p>
      <w:pPr>
        <w:keepNext w:val="0"/>
        <w:keepLines w:val="0"/>
        <w:pageBreakBefore w:val="0"/>
        <w:kinsoku/>
        <w:wordWrap/>
        <w:overflowPunct/>
        <w:topLinePunct w:val="0"/>
        <w:autoSpaceDE/>
        <w:autoSpaceDN/>
        <w:bidi w:val="0"/>
        <w:adjustRightInd/>
        <w:spacing w:line="360" w:lineRule="auto"/>
        <w:textAlignment w:val="auto"/>
        <w:outlineLvl w:val="9"/>
      </w:pP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cs="微软雅黑"/>
          <w:b/>
        </w:rPr>
      </w:pPr>
      <w:r>
        <w:rPr>
          <w:rFonts w:hint="eastAsia"/>
        </w:rPr>
        <w:t xml:space="preserve">     申请人签名_____________________         申请日期______________________</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sectPr>
      <w:headerReference r:id="rId3" w:type="default"/>
      <w:footerReference r:id="rId4"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30204"/>
    <w:charset w:val="00"/>
    <w:family w:val="auto"/>
    <w:pitch w:val="default"/>
    <w:sig w:usb0="00000000" w:usb1="00000000" w:usb2="00000000" w:usb3="00000000" w:csb0="00000093"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bookmarkStart w:id="1" w:name="_GoBack"/>
    <w:r>
      <w:rPr>
        <w:rFonts w:hint="eastAsia"/>
        <w:lang w:val="en-US" w:eastAsia="zh-CN"/>
      </w:rPr>
      <w:t>咨询电话：13439064501（同微信） 陈老师                       网址：www.gototsinghua.org.cn</w:t>
    </w:r>
  </w:p>
  <w:bookmarkEnd w:id="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Theme="majorEastAsia" w:hAnsiTheme="majorEastAsia" w:eastAsiaTheme="majorEastAsia"/>
        <w:b/>
        <w:sz w:val="24"/>
        <w:szCs w:val="13"/>
      </w:rPr>
    </w:pPr>
    <w:r>
      <w:rPr>
        <w:rFonts w:hint="eastAsia" w:eastAsiaTheme="minorEastAsia"/>
      </w:rPr>
      <w:drawing>
        <wp:anchor distT="0" distB="0" distL="114300" distR="114300" simplePos="0" relativeHeight="251658240" behindDoc="1" locked="0" layoutInCell="1" allowOverlap="1">
          <wp:simplePos x="0" y="0"/>
          <wp:positionH relativeFrom="column">
            <wp:posOffset>95250</wp:posOffset>
          </wp:positionH>
          <wp:positionV relativeFrom="paragraph">
            <wp:posOffset>-190500</wp:posOffset>
          </wp:positionV>
          <wp:extent cx="1474470" cy="422275"/>
          <wp:effectExtent l="0" t="0" r="11430" b="9525"/>
          <wp:wrapTight wrapText="bothSides">
            <wp:wrapPolygon>
              <wp:start x="0" y="0"/>
              <wp:lineTo x="0" y="20788"/>
              <wp:lineTo x="21395" y="20788"/>
              <wp:lineTo x="21395" y="0"/>
              <wp:lineTo x="0" y="0"/>
            </wp:wrapPolygon>
          </wp:wrapTight>
          <wp:docPr id="1" name="图片 1" descr="JPG左右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PG左右组合"/>
                  <pic:cNvPicPr>
                    <a:picLocks noChangeAspect="1"/>
                  </pic:cNvPicPr>
                </pic:nvPicPr>
                <pic:blipFill>
                  <a:blip r:embed="rId1"/>
                  <a:stretch>
                    <a:fillRect/>
                  </a:stretch>
                </pic:blipFill>
                <pic:spPr>
                  <a:xfrm>
                    <a:off x="0" y="0"/>
                    <a:ext cx="1474470" cy="422275"/>
                  </a:xfrm>
                  <a:prstGeom prst="rect">
                    <a:avLst/>
                  </a:prstGeom>
                </pic:spPr>
              </pic:pic>
            </a:graphicData>
          </a:graphic>
        </wp:anchor>
      </w:drawing>
    </w:r>
    <w:r>
      <w:rPr>
        <w:rFonts w:hint="eastAsia" w:asciiTheme="majorEastAsia" w:hAnsiTheme="majorEastAsia" w:eastAsiaTheme="majorEastAsia"/>
        <w:b/>
        <w:sz w:val="18"/>
        <w:szCs w:val="13"/>
      </w:rPr>
      <w:t>来自北京大学的创新教育革命，卓越190商业领袖培育工程！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F5B17"/>
    <w:multiLevelType w:val="multilevel"/>
    <w:tmpl w:val="363F5B17"/>
    <w:lvl w:ilvl="0" w:tentative="0">
      <w:start w:val="1"/>
      <w:numFmt w:val="bullet"/>
      <w:lvlText w:val=""/>
      <w:lvlJc w:val="left"/>
      <w:pPr>
        <w:ind w:left="479" w:hanging="480"/>
      </w:pPr>
      <w:rPr>
        <w:rFonts w:hint="default" w:ascii="Wingdings" w:hAnsi="Wingdings"/>
      </w:rPr>
    </w:lvl>
    <w:lvl w:ilvl="1" w:tentative="0">
      <w:start w:val="1"/>
      <w:numFmt w:val="bullet"/>
      <w:lvlText w:val=""/>
      <w:lvlJc w:val="left"/>
      <w:pPr>
        <w:ind w:left="959" w:hanging="480"/>
      </w:pPr>
      <w:rPr>
        <w:rFonts w:hint="default" w:ascii="Wingdings" w:hAnsi="Wingdings"/>
      </w:rPr>
    </w:lvl>
    <w:lvl w:ilvl="2" w:tentative="0">
      <w:start w:val="1"/>
      <w:numFmt w:val="bullet"/>
      <w:lvlText w:val=""/>
      <w:lvlJc w:val="left"/>
      <w:pPr>
        <w:ind w:left="1439" w:hanging="480"/>
      </w:pPr>
      <w:rPr>
        <w:rFonts w:hint="default" w:ascii="Wingdings" w:hAnsi="Wingdings"/>
      </w:rPr>
    </w:lvl>
    <w:lvl w:ilvl="3" w:tentative="0">
      <w:start w:val="1"/>
      <w:numFmt w:val="bullet"/>
      <w:lvlText w:val=""/>
      <w:lvlJc w:val="left"/>
      <w:pPr>
        <w:ind w:left="1919" w:hanging="480"/>
      </w:pPr>
      <w:rPr>
        <w:rFonts w:hint="default" w:ascii="Wingdings" w:hAnsi="Wingdings"/>
      </w:rPr>
    </w:lvl>
    <w:lvl w:ilvl="4" w:tentative="0">
      <w:start w:val="1"/>
      <w:numFmt w:val="bullet"/>
      <w:lvlText w:val=""/>
      <w:lvlJc w:val="left"/>
      <w:pPr>
        <w:ind w:left="2399" w:hanging="480"/>
      </w:pPr>
      <w:rPr>
        <w:rFonts w:hint="default" w:ascii="Wingdings" w:hAnsi="Wingdings"/>
      </w:rPr>
    </w:lvl>
    <w:lvl w:ilvl="5" w:tentative="0">
      <w:start w:val="1"/>
      <w:numFmt w:val="bullet"/>
      <w:lvlText w:val=""/>
      <w:lvlJc w:val="left"/>
      <w:pPr>
        <w:ind w:left="2879" w:hanging="480"/>
      </w:pPr>
      <w:rPr>
        <w:rFonts w:hint="default" w:ascii="Wingdings" w:hAnsi="Wingdings"/>
      </w:rPr>
    </w:lvl>
    <w:lvl w:ilvl="6" w:tentative="0">
      <w:start w:val="1"/>
      <w:numFmt w:val="bullet"/>
      <w:lvlText w:val=""/>
      <w:lvlJc w:val="left"/>
      <w:pPr>
        <w:ind w:left="3359" w:hanging="480"/>
      </w:pPr>
      <w:rPr>
        <w:rFonts w:hint="default" w:ascii="Wingdings" w:hAnsi="Wingdings"/>
      </w:rPr>
    </w:lvl>
    <w:lvl w:ilvl="7" w:tentative="0">
      <w:start w:val="1"/>
      <w:numFmt w:val="bullet"/>
      <w:lvlText w:val=""/>
      <w:lvlJc w:val="left"/>
      <w:pPr>
        <w:ind w:left="3839" w:hanging="480"/>
      </w:pPr>
      <w:rPr>
        <w:rFonts w:hint="default" w:ascii="Wingdings" w:hAnsi="Wingdings"/>
      </w:rPr>
    </w:lvl>
    <w:lvl w:ilvl="8" w:tentative="0">
      <w:start w:val="1"/>
      <w:numFmt w:val="bullet"/>
      <w:lvlText w:val=""/>
      <w:lvlJc w:val="left"/>
      <w:pPr>
        <w:ind w:left="4319" w:hanging="480"/>
      </w:pPr>
      <w:rPr>
        <w:rFonts w:hint="default" w:ascii="Wingdings" w:hAnsi="Wingdings"/>
      </w:rPr>
    </w:lvl>
  </w:abstractNum>
  <w:abstractNum w:abstractNumId="1">
    <w:nsid w:val="6C0B4336"/>
    <w:multiLevelType w:val="multilevel"/>
    <w:tmpl w:val="6C0B4336"/>
    <w:lvl w:ilvl="0" w:tentative="0">
      <w:start w:val="1"/>
      <w:numFmt w:val="bullet"/>
      <w:lvlText w:val=""/>
      <w:lvlJc w:val="left"/>
      <w:pPr>
        <w:ind w:left="420" w:hanging="420"/>
      </w:pPr>
      <w:rPr>
        <w:rFonts w:hint="default" w:ascii="Wingdings" w:hAnsi="Wingdings"/>
        <w:sz w:val="24"/>
        <w:szCs w:val="24"/>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7A240FA5"/>
    <w:multiLevelType w:val="multilevel"/>
    <w:tmpl w:val="7A240FA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hideGrammaticalErrors/>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68"/>
    <w:rsid w:val="000030CC"/>
    <w:rsid w:val="00005BF3"/>
    <w:rsid w:val="00007124"/>
    <w:rsid w:val="00007237"/>
    <w:rsid w:val="00007B61"/>
    <w:rsid w:val="00012D6F"/>
    <w:rsid w:val="0001325E"/>
    <w:rsid w:val="0001497A"/>
    <w:rsid w:val="000152A3"/>
    <w:rsid w:val="0002457F"/>
    <w:rsid w:val="00024C3E"/>
    <w:rsid w:val="0002518E"/>
    <w:rsid w:val="00033A24"/>
    <w:rsid w:val="00034694"/>
    <w:rsid w:val="00035C33"/>
    <w:rsid w:val="00045875"/>
    <w:rsid w:val="0005063E"/>
    <w:rsid w:val="00050BD0"/>
    <w:rsid w:val="00052927"/>
    <w:rsid w:val="00053096"/>
    <w:rsid w:val="00061AD9"/>
    <w:rsid w:val="0006539A"/>
    <w:rsid w:val="00065509"/>
    <w:rsid w:val="00066BC8"/>
    <w:rsid w:val="00073429"/>
    <w:rsid w:val="00074BF7"/>
    <w:rsid w:val="00075237"/>
    <w:rsid w:val="00090828"/>
    <w:rsid w:val="00091D82"/>
    <w:rsid w:val="00093335"/>
    <w:rsid w:val="000A1DB9"/>
    <w:rsid w:val="000A39A4"/>
    <w:rsid w:val="000A6DBB"/>
    <w:rsid w:val="000A6EEC"/>
    <w:rsid w:val="000A776A"/>
    <w:rsid w:val="000B30CF"/>
    <w:rsid w:val="000C107D"/>
    <w:rsid w:val="000C6522"/>
    <w:rsid w:val="000C6D0E"/>
    <w:rsid w:val="000D2FF6"/>
    <w:rsid w:val="000E7154"/>
    <w:rsid w:val="000E7270"/>
    <w:rsid w:val="000F3784"/>
    <w:rsid w:val="000F465B"/>
    <w:rsid w:val="000F467A"/>
    <w:rsid w:val="000F559C"/>
    <w:rsid w:val="000F64D3"/>
    <w:rsid w:val="000F6B31"/>
    <w:rsid w:val="000F794E"/>
    <w:rsid w:val="0011488B"/>
    <w:rsid w:val="00116626"/>
    <w:rsid w:val="00130079"/>
    <w:rsid w:val="00144387"/>
    <w:rsid w:val="00147BBD"/>
    <w:rsid w:val="00150F82"/>
    <w:rsid w:val="001534B3"/>
    <w:rsid w:val="00155A99"/>
    <w:rsid w:val="00161B61"/>
    <w:rsid w:val="00161E0A"/>
    <w:rsid w:val="0016247A"/>
    <w:rsid w:val="00162779"/>
    <w:rsid w:val="00164E00"/>
    <w:rsid w:val="00174FFE"/>
    <w:rsid w:val="001779F8"/>
    <w:rsid w:val="00186C37"/>
    <w:rsid w:val="00192258"/>
    <w:rsid w:val="00193B01"/>
    <w:rsid w:val="00197880"/>
    <w:rsid w:val="001A0823"/>
    <w:rsid w:val="001A2901"/>
    <w:rsid w:val="001A359C"/>
    <w:rsid w:val="001A4C33"/>
    <w:rsid w:val="001B0512"/>
    <w:rsid w:val="001B27B4"/>
    <w:rsid w:val="001B305C"/>
    <w:rsid w:val="001C188D"/>
    <w:rsid w:val="001C3418"/>
    <w:rsid w:val="001C42DE"/>
    <w:rsid w:val="001C6239"/>
    <w:rsid w:val="001C6526"/>
    <w:rsid w:val="001C7DCE"/>
    <w:rsid w:val="001D50A6"/>
    <w:rsid w:val="001E08D9"/>
    <w:rsid w:val="001E1A10"/>
    <w:rsid w:val="001E2D3F"/>
    <w:rsid w:val="001E36BC"/>
    <w:rsid w:val="001E4FC5"/>
    <w:rsid w:val="001F0E49"/>
    <w:rsid w:val="001F706B"/>
    <w:rsid w:val="00201EDA"/>
    <w:rsid w:val="0021043E"/>
    <w:rsid w:val="00214663"/>
    <w:rsid w:val="00215020"/>
    <w:rsid w:val="0021606C"/>
    <w:rsid w:val="002174C0"/>
    <w:rsid w:val="0023219C"/>
    <w:rsid w:val="002329AC"/>
    <w:rsid w:val="002418A0"/>
    <w:rsid w:val="0024211D"/>
    <w:rsid w:val="002434E9"/>
    <w:rsid w:val="00247124"/>
    <w:rsid w:val="00247358"/>
    <w:rsid w:val="00247C78"/>
    <w:rsid w:val="002539E0"/>
    <w:rsid w:val="002541BF"/>
    <w:rsid w:val="00255AE9"/>
    <w:rsid w:val="00255FE8"/>
    <w:rsid w:val="0025719B"/>
    <w:rsid w:val="002604D2"/>
    <w:rsid w:val="00261B20"/>
    <w:rsid w:val="00272661"/>
    <w:rsid w:val="002742DB"/>
    <w:rsid w:val="00274F1F"/>
    <w:rsid w:val="00275060"/>
    <w:rsid w:val="00281AD0"/>
    <w:rsid w:val="00291E1A"/>
    <w:rsid w:val="00292B41"/>
    <w:rsid w:val="0029552E"/>
    <w:rsid w:val="00296938"/>
    <w:rsid w:val="002A4702"/>
    <w:rsid w:val="002A4F28"/>
    <w:rsid w:val="002A4FCB"/>
    <w:rsid w:val="002A6182"/>
    <w:rsid w:val="002B2693"/>
    <w:rsid w:val="002B4C0E"/>
    <w:rsid w:val="002B5023"/>
    <w:rsid w:val="002B5A4A"/>
    <w:rsid w:val="002B6B7D"/>
    <w:rsid w:val="002C1FC2"/>
    <w:rsid w:val="002C4669"/>
    <w:rsid w:val="002C642A"/>
    <w:rsid w:val="002C7420"/>
    <w:rsid w:val="002D2678"/>
    <w:rsid w:val="002D2BEC"/>
    <w:rsid w:val="002D3002"/>
    <w:rsid w:val="002D5255"/>
    <w:rsid w:val="002D57DE"/>
    <w:rsid w:val="002D5900"/>
    <w:rsid w:val="002E22FA"/>
    <w:rsid w:val="002E32AB"/>
    <w:rsid w:val="002E462E"/>
    <w:rsid w:val="002E7B5F"/>
    <w:rsid w:val="002F4401"/>
    <w:rsid w:val="003024FD"/>
    <w:rsid w:val="00303AAA"/>
    <w:rsid w:val="0030425E"/>
    <w:rsid w:val="0030526E"/>
    <w:rsid w:val="00305D5B"/>
    <w:rsid w:val="003103DF"/>
    <w:rsid w:val="00310E0D"/>
    <w:rsid w:val="0031131F"/>
    <w:rsid w:val="003124A0"/>
    <w:rsid w:val="00330313"/>
    <w:rsid w:val="0033108E"/>
    <w:rsid w:val="00331281"/>
    <w:rsid w:val="00332C51"/>
    <w:rsid w:val="003346A1"/>
    <w:rsid w:val="003411BE"/>
    <w:rsid w:val="00342CEE"/>
    <w:rsid w:val="003438B1"/>
    <w:rsid w:val="00343E5A"/>
    <w:rsid w:val="003444BE"/>
    <w:rsid w:val="00350967"/>
    <w:rsid w:val="003523CB"/>
    <w:rsid w:val="00360B73"/>
    <w:rsid w:val="00361F39"/>
    <w:rsid w:val="003648B8"/>
    <w:rsid w:val="00374B00"/>
    <w:rsid w:val="00375635"/>
    <w:rsid w:val="0038291D"/>
    <w:rsid w:val="00385515"/>
    <w:rsid w:val="003910E0"/>
    <w:rsid w:val="003914F8"/>
    <w:rsid w:val="0039257A"/>
    <w:rsid w:val="00394ACC"/>
    <w:rsid w:val="003A2281"/>
    <w:rsid w:val="003A6710"/>
    <w:rsid w:val="003C37B3"/>
    <w:rsid w:val="003C3854"/>
    <w:rsid w:val="003C4D31"/>
    <w:rsid w:val="003C4E8D"/>
    <w:rsid w:val="003D11E9"/>
    <w:rsid w:val="003D21E0"/>
    <w:rsid w:val="003D2390"/>
    <w:rsid w:val="003D2DA6"/>
    <w:rsid w:val="003D3BEB"/>
    <w:rsid w:val="003D435F"/>
    <w:rsid w:val="003D53FA"/>
    <w:rsid w:val="003E4705"/>
    <w:rsid w:val="003E6210"/>
    <w:rsid w:val="003E7EEF"/>
    <w:rsid w:val="003F0CCB"/>
    <w:rsid w:val="003F37D3"/>
    <w:rsid w:val="0040214D"/>
    <w:rsid w:val="00403753"/>
    <w:rsid w:val="0041041C"/>
    <w:rsid w:val="00412FBE"/>
    <w:rsid w:val="00414149"/>
    <w:rsid w:val="00415776"/>
    <w:rsid w:val="00416323"/>
    <w:rsid w:val="00426A67"/>
    <w:rsid w:val="00434704"/>
    <w:rsid w:val="00435084"/>
    <w:rsid w:val="00440BD1"/>
    <w:rsid w:val="00442AD8"/>
    <w:rsid w:val="00445B52"/>
    <w:rsid w:val="0044788F"/>
    <w:rsid w:val="0045589C"/>
    <w:rsid w:val="00456050"/>
    <w:rsid w:val="00456DF7"/>
    <w:rsid w:val="00462FD9"/>
    <w:rsid w:val="00465EAC"/>
    <w:rsid w:val="0046606B"/>
    <w:rsid w:val="00466DAE"/>
    <w:rsid w:val="00467942"/>
    <w:rsid w:val="00470067"/>
    <w:rsid w:val="00470F06"/>
    <w:rsid w:val="00471482"/>
    <w:rsid w:val="004750EF"/>
    <w:rsid w:val="00475DEC"/>
    <w:rsid w:val="004806CB"/>
    <w:rsid w:val="00480B6C"/>
    <w:rsid w:val="004911A2"/>
    <w:rsid w:val="00492437"/>
    <w:rsid w:val="004936FF"/>
    <w:rsid w:val="004958CD"/>
    <w:rsid w:val="004A3DE1"/>
    <w:rsid w:val="004A51F6"/>
    <w:rsid w:val="004A5DE0"/>
    <w:rsid w:val="004B1CF8"/>
    <w:rsid w:val="004B40D5"/>
    <w:rsid w:val="004B6F60"/>
    <w:rsid w:val="004C3035"/>
    <w:rsid w:val="004C6AB7"/>
    <w:rsid w:val="004C6E9C"/>
    <w:rsid w:val="004D2942"/>
    <w:rsid w:val="004D3B26"/>
    <w:rsid w:val="004E2122"/>
    <w:rsid w:val="004E3669"/>
    <w:rsid w:val="004E5AF8"/>
    <w:rsid w:val="004F4DC6"/>
    <w:rsid w:val="004F64DA"/>
    <w:rsid w:val="004F7B35"/>
    <w:rsid w:val="005142B9"/>
    <w:rsid w:val="005179E7"/>
    <w:rsid w:val="00520C32"/>
    <w:rsid w:val="0052394C"/>
    <w:rsid w:val="00531477"/>
    <w:rsid w:val="00532B32"/>
    <w:rsid w:val="00536BA4"/>
    <w:rsid w:val="00540376"/>
    <w:rsid w:val="00541040"/>
    <w:rsid w:val="005427A1"/>
    <w:rsid w:val="00544C59"/>
    <w:rsid w:val="00547287"/>
    <w:rsid w:val="0055400A"/>
    <w:rsid w:val="00563B95"/>
    <w:rsid w:val="00565825"/>
    <w:rsid w:val="0057068A"/>
    <w:rsid w:val="00580834"/>
    <w:rsid w:val="00581649"/>
    <w:rsid w:val="00581AC0"/>
    <w:rsid w:val="005829DE"/>
    <w:rsid w:val="005861AD"/>
    <w:rsid w:val="00591EB8"/>
    <w:rsid w:val="0059717B"/>
    <w:rsid w:val="005A176C"/>
    <w:rsid w:val="005C2729"/>
    <w:rsid w:val="005C4722"/>
    <w:rsid w:val="005C7744"/>
    <w:rsid w:val="005D01F1"/>
    <w:rsid w:val="005D12EE"/>
    <w:rsid w:val="005D23EF"/>
    <w:rsid w:val="005D26C5"/>
    <w:rsid w:val="005D4208"/>
    <w:rsid w:val="005D64E8"/>
    <w:rsid w:val="005E08A5"/>
    <w:rsid w:val="005E4DD5"/>
    <w:rsid w:val="005F07F9"/>
    <w:rsid w:val="005F7E01"/>
    <w:rsid w:val="00605261"/>
    <w:rsid w:val="00607CA2"/>
    <w:rsid w:val="006120C1"/>
    <w:rsid w:val="0061250D"/>
    <w:rsid w:val="00615AC3"/>
    <w:rsid w:val="006238FC"/>
    <w:rsid w:val="00632803"/>
    <w:rsid w:val="006422D3"/>
    <w:rsid w:val="00643623"/>
    <w:rsid w:val="00645B35"/>
    <w:rsid w:val="0064603F"/>
    <w:rsid w:val="006539CE"/>
    <w:rsid w:val="006539FD"/>
    <w:rsid w:val="006544D1"/>
    <w:rsid w:val="00654F8E"/>
    <w:rsid w:val="00662FB3"/>
    <w:rsid w:val="00663796"/>
    <w:rsid w:val="00664945"/>
    <w:rsid w:val="00672873"/>
    <w:rsid w:val="006757F0"/>
    <w:rsid w:val="006763A5"/>
    <w:rsid w:val="00681BB4"/>
    <w:rsid w:val="006839D9"/>
    <w:rsid w:val="00684528"/>
    <w:rsid w:val="00690939"/>
    <w:rsid w:val="00691C01"/>
    <w:rsid w:val="00697A3C"/>
    <w:rsid w:val="006A4670"/>
    <w:rsid w:val="006B00AC"/>
    <w:rsid w:val="006B0C13"/>
    <w:rsid w:val="006B7182"/>
    <w:rsid w:val="006B7E64"/>
    <w:rsid w:val="006C49E2"/>
    <w:rsid w:val="006C5A2D"/>
    <w:rsid w:val="006C6E7A"/>
    <w:rsid w:val="006C78C4"/>
    <w:rsid w:val="006D039C"/>
    <w:rsid w:val="006D2971"/>
    <w:rsid w:val="006D42F3"/>
    <w:rsid w:val="006D6340"/>
    <w:rsid w:val="006E2004"/>
    <w:rsid w:val="006E76CC"/>
    <w:rsid w:val="006F287D"/>
    <w:rsid w:val="006F2B1A"/>
    <w:rsid w:val="006F3125"/>
    <w:rsid w:val="006F3CBC"/>
    <w:rsid w:val="006F7D36"/>
    <w:rsid w:val="00711636"/>
    <w:rsid w:val="0071183E"/>
    <w:rsid w:val="0071208E"/>
    <w:rsid w:val="00714EC8"/>
    <w:rsid w:val="00720B39"/>
    <w:rsid w:val="00736793"/>
    <w:rsid w:val="00736E54"/>
    <w:rsid w:val="007435EC"/>
    <w:rsid w:val="00752C6B"/>
    <w:rsid w:val="00762829"/>
    <w:rsid w:val="00766333"/>
    <w:rsid w:val="0077044B"/>
    <w:rsid w:val="0078428D"/>
    <w:rsid w:val="007848C9"/>
    <w:rsid w:val="00785F95"/>
    <w:rsid w:val="007866C0"/>
    <w:rsid w:val="00793A9A"/>
    <w:rsid w:val="00793B52"/>
    <w:rsid w:val="007945F7"/>
    <w:rsid w:val="00795B30"/>
    <w:rsid w:val="00796F97"/>
    <w:rsid w:val="007A5C82"/>
    <w:rsid w:val="007B020F"/>
    <w:rsid w:val="007B21B7"/>
    <w:rsid w:val="007B22D1"/>
    <w:rsid w:val="007B701C"/>
    <w:rsid w:val="007D415B"/>
    <w:rsid w:val="007E2BCF"/>
    <w:rsid w:val="007E6C1C"/>
    <w:rsid w:val="007F582F"/>
    <w:rsid w:val="007F7A54"/>
    <w:rsid w:val="0080156D"/>
    <w:rsid w:val="00807E03"/>
    <w:rsid w:val="0081113B"/>
    <w:rsid w:val="0081524F"/>
    <w:rsid w:val="00820C48"/>
    <w:rsid w:val="00821871"/>
    <w:rsid w:val="0082208C"/>
    <w:rsid w:val="00824616"/>
    <w:rsid w:val="00824622"/>
    <w:rsid w:val="00825813"/>
    <w:rsid w:val="00830135"/>
    <w:rsid w:val="008307F2"/>
    <w:rsid w:val="00830FEB"/>
    <w:rsid w:val="008311CF"/>
    <w:rsid w:val="00835EB8"/>
    <w:rsid w:val="00837742"/>
    <w:rsid w:val="00845E0A"/>
    <w:rsid w:val="00847C35"/>
    <w:rsid w:val="00851695"/>
    <w:rsid w:val="00854F70"/>
    <w:rsid w:val="00855580"/>
    <w:rsid w:val="0085594D"/>
    <w:rsid w:val="00857F11"/>
    <w:rsid w:val="008623FF"/>
    <w:rsid w:val="00863C26"/>
    <w:rsid w:val="00870BE2"/>
    <w:rsid w:val="00871DB4"/>
    <w:rsid w:val="00874F2E"/>
    <w:rsid w:val="00876D8C"/>
    <w:rsid w:val="008811E2"/>
    <w:rsid w:val="008820D6"/>
    <w:rsid w:val="00884506"/>
    <w:rsid w:val="00886406"/>
    <w:rsid w:val="0089279E"/>
    <w:rsid w:val="00893C70"/>
    <w:rsid w:val="0089693F"/>
    <w:rsid w:val="00896D67"/>
    <w:rsid w:val="008A0247"/>
    <w:rsid w:val="008A03B7"/>
    <w:rsid w:val="008A04FA"/>
    <w:rsid w:val="008A7BC3"/>
    <w:rsid w:val="008B2BBA"/>
    <w:rsid w:val="008B3210"/>
    <w:rsid w:val="008B41B0"/>
    <w:rsid w:val="008C03E3"/>
    <w:rsid w:val="008C524B"/>
    <w:rsid w:val="008D0991"/>
    <w:rsid w:val="008D622E"/>
    <w:rsid w:val="008E0477"/>
    <w:rsid w:val="008E3705"/>
    <w:rsid w:val="008F1086"/>
    <w:rsid w:val="008F75C4"/>
    <w:rsid w:val="00900143"/>
    <w:rsid w:val="0090016F"/>
    <w:rsid w:val="00900BC1"/>
    <w:rsid w:val="00906F9C"/>
    <w:rsid w:val="00907B05"/>
    <w:rsid w:val="00911DA7"/>
    <w:rsid w:val="00925976"/>
    <w:rsid w:val="0093188C"/>
    <w:rsid w:val="009341C9"/>
    <w:rsid w:val="009369AC"/>
    <w:rsid w:val="00937835"/>
    <w:rsid w:val="00940950"/>
    <w:rsid w:val="0094171F"/>
    <w:rsid w:val="009422E0"/>
    <w:rsid w:val="00942AAB"/>
    <w:rsid w:val="00943352"/>
    <w:rsid w:val="00944568"/>
    <w:rsid w:val="00946FFD"/>
    <w:rsid w:val="00961A0F"/>
    <w:rsid w:val="00961B24"/>
    <w:rsid w:val="0096245F"/>
    <w:rsid w:val="00966AFE"/>
    <w:rsid w:val="009815BB"/>
    <w:rsid w:val="009816ED"/>
    <w:rsid w:val="0098291D"/>
    <w:rsid w:val="0098318C"/>
    <w:rsid w:val="00986B6C"/>
    <w:rsid w:val="0099407C"/>
    <w:rsid w:val="009947CF"/>
    <w:rsid w:val="0099606A"/>
    <w:rsid w:val="009973B8"/>
    <w:rsid w:val="009A2192"/>
    <w:rsid w:val="009A2589"/>
    <w:rsid w:val="009A5440"/>
    <w:rsid w:val="009A662B"/>
    <w:rsid w:val="009A735F"/>
    <w:rsid w:val="009A7640"/>
    <w:rsid w:val="009B1C0F"/>
    <w:rsid w:val="009B36A5"/>
    <w:rsid w:val="009B45C9"/>
    <w:rsid w:val="009C054A"/>
    <w:rsid w:val="009C08BF"/>
    <w:rsid w:val="009C678D"/>
    <w:rsid w:val="009D1330"/>
    <w:rsid w:val="009D57E6"/>
    <w:rsid w:val="009D6A5E"/>
    <w:rsid w:val="009D77D5"/>
    <w:rsid w:val="009D7A7B"/>
    <w:rsid w:val="009E12D2"/>
    <w:rsid w:val="009E1534"/>
    <w:rsid w:val="009E3A2D"/>
    <w:rsid w:val="009E3AF3"/>
    <w:rsid w:val="009F1566"/>
    <w:rsid w:val="009F47A5"/>
    <w:rsid w:val="009F7D8A"/>
    <w:rsid w:val="00A0152D"/>
    <w:rsid w:val="00A04707"/>
    <w:rsid w:val="00A051F5"/>
    <w:rsid w:val="00A062E6"/>
    <w:rsid w:val="00A073FA"/>
    <w:rsid w:val="00A079E5"/>
    <w:rsid w:val="00A101DA"/>
    <w:rsid w:val="00A1286F"/>
    <w:rsid w:val="00A23688"/>
    <w:rsid w:val="00A2390C"/>
    <w:rsid w:val="00A2572F"/>
    <w:rsid w:val="00A3094A"/>
    <w:rsid w:val="00A3263C"/>
    <w:rsid w:val="00A34F9E"/>
    <w:rsid w:val="00A36415"/>
    <w:rsid w:val="00A36F32"/>
    <w:rsid w:val="00A45025"/>
    <w:rsid w:val="00A45B75"/>
    <w:rsid w:val="00A46477"/>
    <w:rsid w:val="00A46538"/>
    <w:rsid w:val="00A71B1C"/>
    <w:rsid w:val="00A73EDA"/>
    <w:rsid w:val="00A7451A"/>
    <w:rsid w:val="00A83146"/>
    <w:rsid w:val="00A835F7"/>
    <w:rsid w:val="00A855E1"/>
    <w:rsid w:val="00A97E8A"/>
    <w:rsid w:val="00AA00A5"/>
    <w:rsid w:val="00AA29A4"/>
    <w:rsid w:val="00AA554C"/>
    <w:rsid w:val="00AA5F02"/>
    <w:rsid w:val="00AB4BE0"/>
    <w:rsid w:val="00AB6B96"/>
    <w:rsid w:val="00AC1FFE"/>
    <w:rsid w:val="00AC44BD"/>
    <w:rsid w:val="00AC4C76"/>
    <w:rsid w:val="00AC54C1"/>
    <w:rsid w:val="00AC61D7"/>
    <w:rsid w:val="00AD1F2A"/>
    <w:rsid w:val="00AE01F6"/>
    <w:rsid w:val="00AE23C9"/>
    <w:rsid w:val="00AE394A"/>
    <w:rsid w:val="00AF43E1"/>
    <w:rsid w:val="00AF6572"/>
    <w:rsid w:val="00AF6C8B"/>
    <w:rsid w:val="00AF7162"/>
    <w:rsid w:val="00B015E2"/>
    <w:rsid w:val="00B0440A"/>
    <w:rsid w:val="00B07E77"/>
    <w:rsid w:val="00B10929"/>
    <w:rsid w:val="00B158C9"/>
    <w:rsid w:val="00B1646A"/>
    <w:rsid w:val="00B1766A"/>
    <w:rsid w:val="00B17BAE"/>
    <w:rsid w:val="00B241EB"/>
    <w:rsid w:val="00B24C7B"/>
    <w:rsid w:val="00B2780F"/>
    <w:rsid w:val="00B302B3"/>
    <w:rsid w:val="00B31F7E"/>
    <w:rsid w:val="00B34C33"/>
    <w:rsid w:val="00B36DF8"/>
    <w:rsid w:val="00B42D29"/>
    <w:rsid w:val="00B51F3F"/>
    <w:rsid w:val="00B5224F"/>
    <w:rsid w:val="00B54E74"/>
    <w:rsid w:val="00B550FE"/>
    <w:rsid w:val="00B56934"/>
    <w:rsid w:val="00B57719"/>
    <w:rsid w:val="00B636A5"/>
    <w:rsid w:val="00B64068"/>
    <w:rsid w:val="00B6725E"/>
    <w:rsid w:val="00B74227"/>
    <w:rsid w:val="00B80239"/>
    <w:rsid w:val="00B8145E"/>
    <w:rsid w:val="00B81763"/>
    <w:rsid w:val="00B81D0D"/>
    <w:rsid w:val="00B9293C"/>
    <w:rsid w:val="00B935B0"/>
    <w:rsid w:val="00BA4B39"/>
    <w:rsid w:val="00BA5030"/>
    <w:rsid w:val="00BB30E0"/>
    <w:rsid w:val="00BB3A59"/>
    <w:rsid w:val="00BC78D9"/>
    <w:rsid w:val="00BD35C3"/>
    <w:rsid w:val="00BD600F"/>
    <w:rsid w:val="00BE109C"/>
    <w:rsid w:val="00BE4370"/>
    <w:rsid w:val="00BE4871"/>
    <w:rsid w:val="00BE56E0"/>
    <w:rsid w:val="00BE71A5"/>
    <w:rsid w:val="00BF229C"/>
    <w:rsid w:val="00BF4348"/>
    <w:rsid w:val="00BF5CAA"/>
    <w:rsid w:val="00C07C55"/>
    <w:rsid w:val="00C174AC"/>
    <w:rsid w:val="00C247B3"/>
    <w:rsid w:val="00C27529"/>
    <w:rsid w:val="00C340D2"/>
    <w:rsid w:val="00C4295C"/>
    <w:rsid w:val="00C42EC1"/>
    <w:rsid w:val="00C53A65"/>
    <w:rsid w:val="00C56C80"/>
    <w:rsid w:val="00C57EE0"/>
    <w:rsid w:val="00C62684"/>
    <w:rsid w:val="00C71199"/>
    <w:rsid w:val="00C736AC"/>
    <w:rsid w:val="00C74CFE"/>
    <w:rsid w:val="00C75BE5"/>
    <w:rsid w:val="00C81207"/>
    <w:rsid w:val="00C84DF5"/>
    <w:rsid w:val="00C8584F"/>
    <w:rsid w:val="00C903F8"/>
    <w:rsid w:val="00CA00D2"/>
    <w:rsid w:val="00CA3AAA"/>
    <w:rsid w:val="00CA4074"/>
    <w:rsid w:val="00CA7316"/>
    <w:rsid w:val="00CA735B"/>
    <w:rsid w:val="00CB08A7"/>
    <w:rsid w:val="00CB1D6F"/>
    <w:rsid w:val="00CB4174"/>
    <w:rsid w:val="00CB4C88"/>
    <w:rsid w:val="00CC1146"/>
    <w:rsid w:val="00CC6500"/>
    <w:rsid w:val="00CD1060"/>
    <w:rsid w:val="00CD1944"/>
    <w:rsid w:val="00CD490C"/>
    <w:rsid w:val="00CD7A4D"/>
    <w:rsid w:val="00CE412F"/>
    <w:rsid w:val="00CE468D"/>
    <w:rsid w:val="00CF16DF"/>
    <w:rsid w:val="00CF72D2"/>
    <w:rsid w:val="00CF769D"/>
    <w:rsid w:val="00D00CD6"/>
    <w:rsid w:val="00D02175"/>
    <w:rsid w:val="00D02394"/>
    <w:rsid w:val="00D07472"/>
    <w:rsid w:val="00D14ECD"/>
    <w:rsid w:val="00D213B8"/>
    <w:rsid w:val="00D22325"/>
    <w:rsid w:val="00D3152C"/>
    <w:rsid w:val="00D3180D"/>
    <w:rsid w:val="00D3342D"/>
    <w:rsid w:val="00D34320"/>
    <w:rsid w:val="00D351DA"/>
    <w:rsid w:val="00D3562D"/>
    <w:rsid w:val="00D36E93"/>
    <w:rsid w:val="00D41DDA"/>
    <w:rsid w:val="00D42A64"/>
    <w:rsid w:val="00D547F6"/>
    <w:rsid w:val="00D6202B"/>
    <w:rsid w:val="00D630B9"/>
    <w:rsid w:val="00D654E7"/>
    <w:rsid w:val="00D6642E"/>
    <w:rsid w:val="00D74164"/>
    <w:rsid w:val="00D754B7"/>
    <w:rsid w:val="00D7703F"/>
    <w:rsid w:val="00D80F4C"/>
    <w:rsid w:val="00D85A1C"/>
    <w:rsid w:val="00D87CCB"/>
    <w:rsid w:val="00D9326E"/>
    <w:rsid w:val="00D96831"/>
    <w:rsid w:val="00DA2C12"/>
    <w:rsid w:val="00DA2FB5"/>
    <w:rsid w:val="00DA4903"/>
    <w:rsid w:val="00DA5CFF"/>
    <w:rsid w:val="00DA7EF7"/>
    <w:rsid w:val="00DB0057"/>
    <w:rsid w:val="00DB07CE"/>
    <w:rsid w:val="00DB4A25"/>
    <w:rsid w:val="00DC5376"/>
    <w:rsid w:val="00DC6966"/>
    <w:rsid w:val="00DD24F6"/>
    <w:rsid w:val="00DD284A"/>
    <w:rsid w:val="00DE5B54"/>
    <w:rsid w:val="00DE7408"/>
    <w:rsid w:val="00DF07B0"/>
    <w:rsid w:val="00DF164F"/>
    <w:rsid w:val="00DF4AE5"/>
    <w:rsid w:val="00DF60E6"/>
    <w:rsid w:val="00E000B4"/>
    <w:rsid w:val="00E05AD4"/>
    <w:rsid w:val="00E05EA9"/>
    <w:rsid w:val="00E07EEF"/>
    <w:rsid w:val="00E07FFA"/>
    <w:rsid w:val="00E114D5"/>
    <w:rsid w:val="00E11687"/>
    <w:rsid w:val="00E162A2"/>
    <w:rsid w:val="00E17220"/>
    <w:rsid w:val="00E17BC4"/>
    <w:rsid w:val="00E26076"/>
    <w:rsid w:val="00E30E96"/>
    <w:rsid w:val="00E313C7"/>
    <w:rsid w:val="00E31968"/>
    <w:rsid w:val="00E3240C"/>
    <w:rsid w:val="00E32C71"/>
    <w:rsid w:val="00E3437D"/>
    <w:rsid w:val="00E40181"/>
    <w:rsid w:val="00E428BD"/>
    <w:rsid w:val="00E45011"/>
    <w:rsid w:val="00E54774"/>
    <w:rsid w:val="00E63F36"/>
    <w:rsid w:val="00E64613"/>
    <w:rsid w:val="00E675A4"/>
    <w:rsid w:val="00E74013"/>
    <w:rsid w:val="00E74233"/>
    <w:rsid w:val="00E74621"/>
    <w:rsid w:val="00E84406"/>
    <w:rsid w:val="00E86295"/>
    <w:rsid w:val="00E90EBE"/>
    <w:rsid w:val="00EA23C4"/>
    <w:rsid w:val="00EA2512"/>
    <w:rsid w:val="00EA4665"/>
    <w:rsid w:val="00EB155C"/>
    <w:rsid w:val="00EB4BA2"/>
    <w:rsid w:val="00EB534E"/>
    <w:rsid w:val="00EB593D"/>
    <w:rsid w:val="00EC1112"/>
    <w:rsid w:val="00EC30C9"/>
    <w:rsid w:val="00EC3AD9"/>
    <w:rsid w:val="00EC49F2"/>
    <w:rsid w:val="00ED07C2"/>
    <w:rsid w:val="00ED0A8A"/>
    <w:rsid w:val="00ED6CC0"/>
    <w:rsid w:val="00ED7226"/>
    <w:rsid w:val="00EE22EF"/>
    <w:rsid w:val="00EE5298"/>
    <w:rsid w:val="00EE5F0B"/>
    <w:rsid w:val="00EF07E3"/>
    <w:rsid w:val="00EF0A9C"/>
    <w:rsid w:val="00EF1B81"/>
    <w:rsid w:val="00EF3F3E"/>
    <w:rsid w:val="00EF64D7"/>
    <w:rsid w:val="00F01D2C"/>
    <w:rsid w:val="00F02758"/>
    <w:rsid w:val="00F06AAD"/>
    <w:rsid w:val="00F11264"/>
    <w:rsid w:val="00F17519"/>
    <w:rsid w:val="00F227DF"/>
    <w:rsid w:val="00F24D9D"/>
    <w:rsid w:val="00F261F9"/>
    <w:rsid w:val="00F270AF"/>
    <w:rsid w:val="00F316CD"/>
    <w:rsid w:val="00F31DAF"/>
    <w:rsid w:val="00F32FA4"/>
    <w:rsid w:val="00F338D0"/>
    <w:rsid w:val="00F352EC"/>
    <w:rsid w:val="00F40C27"/>
    <w:rsid w:val="00F41232"/>
    <w:rsid w:val="00F42864"/>
    <w:rsid w:val="00F459C4"/>
    <w:rsid w:val="00F47D14"/>
    <w:rsid w:val="00F55231"/>
    <w:rsid w:val="00F604BF"/>
    <w:rsid w:val="00F6373E"/>
    <w:rsid w:val="00F733AB"/>
    <w:rsid w:val="00F735CF"/>
    <w:rsid w:val="00F85DD8"/>
    <w:rsid w:val="00FA0B3B"/>
    <w:rsid w:val="00FA184B"/>
    <w:rsid w:val="00FB7724"/>
    <w:rsid w:val="00FC1B48"/>
    <w:rsid w:val="00FC4848"/>
    <w:rsid w:val="00FC5B45"/>
    <w:rsid w:val="00FC6CFF"/>
    <w:rsid w:val="00FD1FBC"/>
    <w:rsid w:val="00FD5005"/>
    <w:rsid w:val="00FD7A9F"/>
    <w:rsid w:val="00FE0034"/>
    <w:rsid w:val="00FE1492"/>
    <w:rsid w:val="00FE3943"/>
    <w:rsid w:val="00FE5160"/>
    <w:rsid w:val="00FE618A"/>
    <w:rsid w:val="00FF5E85"/>
    <w:rsid w:val="00FF60F8"/>
    <w:rsid w:val="00FF6D86"/>
    <w:rsid w:val="00FF72C8"/>
    <w:rsid w:val="05DE56B1"/>
    <w:rsid w:val="06890F06"/>
    <w:rsid w:val="114712CD"/>
    <w:rsid w:val="11FC09A8"/>
    <w:rsid w:val="129971CF"/>
    <w:rsid w:val="141E4A57"/>
    <w:rsid w:val="1B8C71AE"/>
    <w:rsid w:val="1DC56533"/>
    <w:rsid w:val="21660C28"/>
    <w:rsid w:val="24443A47"/>
    <w:rsid w:val="24802C54"/>
    <w:rsid w:val="26C41F3B"/>
    <w:rsid w:val="27590A46"/>
    <w:rsid w:val="2BC34225"/>
    <w:rsid w:val="2C52188B"/>
    <w:rsid w:val="31BE0A5C"/>
    <w:rsid w:val="3B076FFA"/>
    <w:rsid w:val="3EC0295E"/>
    <w:rsid w:val="40DE500E"/>
    <w:rsid w:val="411D278B"/>
    <w:rsid w:val="42F11A4B"/>
    <w:rsid w:val="452901FA"/>
    <w:rsid w:val="47AA2620"/>
    <w:rsid w:val="4EC54E92"/>
    <w:rsid w:val="50D64DD3"/>
    <w:rsid w:val="52CF5332"/>
    <w:rsid w:val="53072F8E"/>
    <w:rsid w:val="58751422"/>
    <w:rsid w:val="5AD2384A"/>
    <w:rsid w:val="5B3E2254"/>
    <w:rsid w:val="5CCA7953"/>
    <w:rsid w:val="5E8E094B"/>
    <w:rsid w:val="5EDE3485"/>
    <w:rsid w:val="6B8C4661"/>
    <w:rsid w:val="6F6E6519"/>
    <w:rsid w:val="73BC4B4C"/>
    <w:rsid w:val="77803569"/>
    <w:rsid w:val="79761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cs="Times New Roman" w:eastAsiaTheme="minorEastAsia"/>
      <w:sz w:val="24"/>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4"/>
    <w:unhideWhenUsed/>
    <w:qFormat/>
    <w:uiPriority w:val="99"/>
    <w:pPr>
      <w:tabs>
        <w:tab w:val="center" w:pos="4153"/>
        <w:tab w:val="right" w:pos="8306"/>
      </w:tabs>
      <w:snapToGrid w:val="0"/>
    </w:pPr>
    <w:rPr>
      <w:sz w:val="18"/>
      <w:szCs w:val="18"/>
    </w:rPr>
  </w:style>
  <w:style w:type="paragraph" w:styleId="3">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pPr>
    <w:rPr>
      <w:rFonts w:ascii="宋体" w:hAnsi="宋体" w:eastAsia="宋体" w:cs="宋体"/>
    </w:r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Strong"/>
    <w:basedOn w:val="7"/>
    <w:qFormat/>
    <w:uiPriority w:val="22"/>
    <w:rPr>
      <w:b/>
      <w:bCs/>
    </w:rPr>
  </w:style>
  <w:style w:type="character" w:styleId="9">
    <w:name w:val="Emphasis"/>
    <w:basedOn w:val="7"/>
    <w:qFormat/>
    <w:uiPriority w:val="20"/>
    <w:rPr>
      <w:color w:val="CC0000"/>
    </w:rPr>
  </w:style>
  <w:style w:type="character" w:styleId="10">
    <w:name w:val="HTML Code"/>
    <w:unhideWhenUsed/>
    <w:qFormat/>
    <w:uiPriority w:val="99"/>
    <w:rPr>
      <w:rFonts w:ascii="Courier New" w:hAnsi="Courier New"/>
      <w:sz w:val="21"/>
      <w:szCs w:val="21"/>
    </w:rPr>
  </w:style>
  <w:style w:type="paragraph" w:customStyle="1" w:styleId="11">
    <w:name w:val="List Paragraph"/>
    <w:basedOn w:val="1"/>
    <w:qFormat/>
    <w:uiPriority w:val="34"/>
    <w:pPr>
      <w:ind w:firstLine="420" w:firstLineChars="200"/>
    </w:pPr>
  </w:style>
  <w:style w:type="paragraph" w:customStyle="1" w:styleId="12">
    <w:name w:val="Default"/>
    <w:qFormat/>
    <w:uiPriority w:val="0"/>
    <w:pPr>
      <w:widowControl w:val="0"/>
      <w:autoSpaceDE w:val="0"/>
      <w:autoSpaceDN w:val="0"/>
      <w:adjustRightInd w:val="0"/>
      <w:spacing w:after="0" w:line="240" w:lineRule="auto"/>
    </w:pPr>
    <w:rPr>
      <w:rFonts w:ascii="宋体" w:eastAsia="宋体" w:cs="宋体" w:hAnsiTheme="minorHAnsi"/>
      <w:color w:val="000000"/>
      <w:sz w:val="24"/>
      <w:szCs w:val="24"/>
      <w:lang w:val="en-US" w:eastAsia="zh-CN" w:bidi="ar-SA"/>
    </w:rPr>
  </w:style>
  <w:style w:type="character" w:customStyle="1" w:styleId="13">
    <w:name w:val="页眉字符"/>
    <w:basedOn w:val="7"/>
    <w:link w:val="3"/>
    <w:qFormat/>
    <w:uiPriority w:val="99"/>
    <w:rPr>
      <w:sz w:val="18"/>
      <w:szCs w:val="18"/>
    </w:rPr>
  </w:style>
  <w:style w:type="character" w:customStyle="1" w:styleId="14">
    <w:name w:val="页脚字符"/>
    <w:basedOn w:val="7"/>
    <w:link w:val="2"/>
    <w:qFormat/>
    <w:uiPriority w:val="99"/>
    <w:rPr>
      <w:sz w:val="18"/>
      <w:szCs w:val="18"/>
    </w:rPr>
  </w:style>
  <w:style w:type="paragraph" w:customStyle="1" w:styleId="15">
    <w:name w:val="作者"/>
    <w:basedOn w:val="1"/>
    <w:qFormat/>
    <w:uiPriority w:val="0"/>
    <w:pPr>
      <w:widowControl w:val="0"/>
      <w:spacing w:before="156" w:beforeLines="50" w:after="156" w:afterLines="50"/>
      <w:jc w:val="center"/>
    </w:pPr>
    <w:rPr>
      <w:rFonts w:eastAsia="仿宋_GB2312"/>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6396</Words>
  <Characters>6703</Characters>
  <Lines>52</Lines>
  <Paragraphs>14</Paragraphs>
  <TotalTime>1</TotalTime>
  <ScaleCrop>false</ScaleCrop>
  <LinksUpToDate>false</LinksUpToDate>
  <CharactersWithSpaces>7097</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2017-06-14T12:16:00Z</dcterms:created>
  <dc:creator>wei zhang</dc:creator>
  <cp:lastModifiedBy>清华总裁班陈伟宏</cp:lastModifiedBy>
  <cp:lastPrinted>2017-06-14T12:16:00Z</cp:lastPrinted>
  <dcterms:modified xsi:type="dcterms:W3CDTF">2019-05-01T15:39:43Z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