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1260" w:hanging="1260" w:hangingChars="600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eastAsiaTheme="minorEastAsia"/>
        </w:rPr>
        <w:drawing>
          <wp:inline distT="0" distB="0" distL="114300" distR="114300">
            <wp:extent cx="6257925" cy="1030605"/>
            <wp:effectExtent l="0" t="0" r="0" b="0"/>
            <wp:docPr id="9" name="图片 9" descr="微信图片_2017112416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71124161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700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 xml:space="preserve">                ———— 展现商业未来  解决企业未来发展问题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互联网是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未来一切商业实践的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基本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工具！互联网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思维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是未来一切商业模式的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立足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基石！互联网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创新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是未来一切产业转型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升级</w:t>
      </w:r>
      <w:r>
        <w:rPr>
          <w:rFonts w:ascii="宋体" w:hAnsi="宋体" w:cs="宋体"/>
          <w:b/>
          <w:bCs/>
          <w:color w:val="1A857D"/>
          <w:kern w:val="0"/>
          <w:sz w:val="24"/>
        </w:rPr>
        <w:t>的机遇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风口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与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必</w:t>
      </w:r>
      <w:r>
        <w:rPr>
          <w:rFonts w:ascii="宋体" w:hAnsi="宋体" w:cs="宋体"/>
          <w:b/>
          <w:bCs/>
          <w:color w:val="1A857D"/>
          <w:kern w:val="0"/>
          <w:sz w:val="24"/>
        </w:rPr>
        <w:t>由之路！万物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互</w:t>
      </w:r>
      <w:r>
        <w:rPr>
          <w:rFonts w:ascii="宋体" w:hAnsi="宋体" w:cs="宋体"/>
          <w:b/>
          <w:bCs/>
          <w:color w:val="1A857D"/>
          <w:kern w:val="0"/>
          <w:sz w:val="24"/>
        </w:rPr>
        <w:t>联，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极致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服务，数据为王，个性至上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！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北京大学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及互联网领域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专家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教授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从产业的高度、用户的角度、专业的深度，利用互联网的新模式、新思维、新技术，为您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深度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梳理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、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实战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剖析</w:t>
      </w:r>
      <w:r>
        <w:rPr>
          <w:rFonts w:ascii="宋体" w:hAnsi="宋体" w:cs="宋体"/>
          <w:b/>
          <w:bCs/>
          <w:color w:val="1A857D"/>
          <w:kern w:val="0"/>
          <w:sz w:val="24"/>
        </w:rPr>
        <w:t>，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全面</w:t>
      </w:r>
      <w:r>
        <w:rPr>
          <w:rFonts w:ascii="宋体" w:hAnsi="宋体" w:cs="宋体"/>
          <w:b/>
          <w:bCs/>
          <w:color w:val="1A857D"/>
          <w:kern w:val="0"/>
          <w:sz w:val="24"/>
        </w:rPr>
        <w:t>解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惑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+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时代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企业转型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升级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新路径！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  <w:r>
        <w:rPr>
          <w:rFonts w:ascii="宋体" w:hAnsi="宋体" w:cs="宋体"/>
          <w:b/>
          <w:bCs/>
          <w:color w:val="1A857D"/>
          <w:kern w:val="0"/>
          <w:sz w:val="24"/>
        </w:rPr>
        <w:t xml:space="preserve"> 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122555</wp:posOffset>
            </wp:positionV>
            <wp:extent cx="485775" cy="168275"/>
            <wp:effectExtent l="0" t="0" r="9525" b="9525"/>
            <wp:wrapNone/>
            <wp:docPr id="5" name="图片 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项目背景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kern w:val="2"/>
        </w:rPr>
        <w:t>风，</w:t>
      </w:r>
      <w:r>
        <w:rPr>
          <w:rFonts w:cs="微软雅黑" w:asciiTheme="majorEastAsia" w:hAnsiTheme="majorEastAsia" w:eastAsiaTheme="majorEastAsia"/>
          <w:kern w:val="2"/>
        </w:rPr>
        <w:t>起于青</w:t>
      </w:r>
      <w:r>
        <w:rPr>
          <w:rFonts w:hint="eastAsia" w:cs="微软雅黑" w:asciiTheme="majorEastAsia" w:hAnsiTheme="majorEastAsia" w:eastAsiaTheme="majorEastAsia"/>
          <w:kern w:val="2"/>
        </w:rPr>
        <w:t>苹</w:t>
      </w:r>
      <w:r>
        <w:rPr>
          <w:rFonts w:cs="微软雅黑" w:asciiTheme="majorEastAsia" w:hAnsiTheme="majorEastAsia" w:eastAsiaTheme="majorEastAsia"/>
          <w:kern w:val="2"/>
        </w:rPr>
        <w:t>之末。</w:t>
      </w:r>
      <w:r>
        <w:rPr>
          <w:rFonts w:hint="eastAsia" w:cs="微软雅黑" w:asciiTheme="majorEastAsia" w:hAnsiTheme="majorEastAsia" w:eastAsiaTheme="majorEastAsia"/>
          <w:kern w:val="2"/>
        </w:rPr>
        <w:t>当</w:t>
      </w:r>
      <w:r>
        <w:rPr>
          <w:rFonts w:cs="微软雅黑" w:asciiTheme="majorEastAsia" w:hAnsiTheme="majorEastAsia" w:eastAsiaTheme="majorEastAsia"/>
          <w:kern w:val="2"/>
        </w:rPr>
        <w:t>现代人习惯于网络世界的生活、工作和交流，当现代经济</w:t>
      </w:r>
      <w:r>
        <w:rPr>
          <w:rFonts w:hint="eastAsia" w:cs="微软雅黑" w:asciiTheme="majorEastAsia" w:hAnsiTheme="majorEastAsia" w:eastAsiaTheme="majorEastAsia"/>
          <w:kern w:val="2"/>
        </w:rPr>
        <w:t>已然</w:t>
      </w:r>
      <w:r>
        <w:rPr>
          <w:rFonts w:cs="微软雅黑" w:asciiTheme="majorEastAsia" w:hAnsiTheme="majorEastAsia" w:eastAsiaTheme="majorEastAsia"/>
          <w:kern w:val="2"/>
        </w:rPr>
        <w:t>完全与数字经济</w:t>
      </w:r>
      <w:r>
        <w:rPr>
          <w:rFonts w:hint="eastAsia" w:cs="微软雅黑" w:asciiTheme="majorEastAsia" w:hAnsiTheme="majorEastAsia" w:eastAsiaTheme="majorEastAsia"/>
          <w:kern w:val="2"/>
        </w:rPr>
        <w:t>融合</w:t>
      </w:r>
      <w:r>
        <w:rPr>
          <w:rFonts w:cs="微软雅黑" w:asciiTheme="majorEastAsia" w:hAnsiTheme="majorEastAsia" w:eastAsiaTheme="majorEastAsia"/>
          <w:kern w:val="2"/>
        </w:rPr>
        <w:t>，慧眼独具的企业家们</w:t>
      </w:r>
      <w:r>
        <w:rPr>
          <w:rFonts w:hint="eastAsia" w:cs="微软雅黑" w:asciiTheme="majorEastAsia" w:hAnsiTheme="majorEastAsia" w:eastAsiaTheme="majorEastAsia"/>
          <w:kern w:val="2"/>
        </w:rPr>
        <w:t>知道</w:t>
      </w:r>
      <w:r>
        <w:rPr>
          <w:rFonts w:cs="微软雅黑" w:asciiTheme="majorEastAsia" w:hAnsiTheme="majorEastAsia" w:eastAsiaTheme="majorEastAsia"/>
          <w:kern w:val="2"/>
        </w:rPr>
        <w:t>，风起了，风来了，风已劲猛！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数字</w:t>
      </w:r>
      <w:r>
        <w:rPr>
          <w:rFonts w:cs="微软雅黑" w:asciiTheme="majorEastAsia" w:hAnsiTheme="majorEastAsia" w:eastAsiaTheme="majorEastAsia"/>
          <w:b/>
          <w:kern w:val="2"/>
        </w:rPr>
        <w:t>经济与数字空间建设将</w:t>
      </w:r>
      <w:r>
        <w:rPr>
          <w:rFonts w:hint="eastAsia" w:cs="微软雅黑" w:asciiTheme="majorEastAsia" w:hAnsiTheme="majorEastAsia" w:eastAsiaTheme="majorEastAsia"/>
          <w:b/>
          <w:kern w:val="2"/>
        </w:rPr>
        <w:t>是未来</w:t>
      </w:r>
      <w:r>
        <w:rPr>
          <w:rFonts w:cs="微软雅黑" w:asciiTheme="majorEastAsia" w:hAnsiTheme="majorEastAsia" w:eastAsiaTheme="majorEastAsia"/>
          <w:b/>
          <w:kern w:val="2"/>
        </w:rPr>
        <w:t>企业诞生之基与龙兴之地</w:t>
      </w:r>
      <w:r>
        <w:rPr>
          <w:rFonts w:hint="eastAsia" w:cs="微软雅黑" w:asciiTheme="majorEastAsia" w:hAnsiTheme="majorEastAsia" w:eastAsiaTheme="majorEastAsia"/>
          <w:kern w:val="2"/>
        </w:rPr>
        <w:t>！互联网</w:t>
      </w:r>
      <w:r>
        <w:rPr>
          <w:rFonts w:cs="微软雅黑" w:asciiTheme="majorEastAsia" w:hAnsiTheme="majorEastAsia" w:eastAsiaTheme="majorEastAsia"/>
          <w:kern w:val="2"/>
        </w:rPr>
        <w:t>的发展</w:t>
      </w:r>
      <w:r>
        <w:rPr>
          <w:rFonts w:hint="eastAsia" w:cs="微软雅黑" w:asciiTheme="majorEastAsia" w:hAnsiTheme="majorEastAsia" w:eastAsiaTheme="majorEastAsia"/>
          <w:kern w:val="2"/>
        </w:rPr>
        <w:t>改变</w:t>
      </w:r>
      <w:r>
        <w:rPr>
          <w:rFonts w:cs="微软雅黑" w:asciiTheme="majorEastAsia" w:hAnsiTheme="majorEastAsia" w:eastAsiaTheme="majorEastAsia"/>
          <w:kern w:val="2"/>
        </w:rPr>
        <w:t>了人类经济发展的轨道，实体空间的建设已和数字空间</w:t>
      </w:r>
      <w:r>
        <w:rPr>
          <w:rFonts w:hint="eastAsia" w:cs="微软雅黑" w:asciiTheme="majorEastAsia" w:hAnsiTheme="majorEastAsia" w:eastAsiaTheme="majorEastAsia"/>
          <w:kern w:val="2"/>
        </w:rPr>
        <w:t>的</w:t>
      </w:r>
      <w:r>
        <w:rPr>
          <w:rFonts w:cs="微软雅黑" w:asciiTheme="majorEastAsia" w:hAnsiTheme="majorEastAsia" w:eastAsiaTheme="majorEastAsia"/>
          <w:kern w:val="2"/>
        </w:rPr>
        <w:t>开拓合二为一。美国</w:t>
      </w:r>
      <w:r>
        <w:rPr>
          <w:rFonts w:hint="eastAsia" w:cs="微软雅黑" w:asciiTheme="majorEastAsia" w:hAnsiTheme="majorEastAsia" w:eastAsiaTheme="majorEastAsia"/>
          <w:kern w:val="2"/>
        </w:rPr>
        <w:t>数字</w:t>
      </w:r>
      <w:r>
        <w:rPr>
          <w:rFonts w:cs="微软雅黑" w:asciiTheme="majorEastAsia" w:hAnsiTheme="majorEastAsia" w:eastAsiaTheme="majorEastAsia"/>
          <w:kern w:val="2"/>
        </w:rPr>
        <w:t>经济顾问委员会的成立，德国数字战略</w:t>
      </w:r>
      <w:r>
        <w:rPr>
          <w:rFonts w:hint="eastAsia" w:cs="微软雅黑" w:asciiTheme="majorEastAsia" w:hAnsiTheme="majorEastAsia" w:eastAsiaTheme="majorEastAsia"/>
          <w:kern w:val="2"/>
        </w:rPr>
        <w:t>2025的</w:t>
      </w:r>
      <w:r>
        <w:rPr>
          <w:rFonts w:cs="微软雅黑" w:asciiTheme="majorEastAsia" w:hAnsiTheme="majorEastAsia" w:eastAsiaTheme="majorEastAsia"/>
          <w:kern w:val="2"/>
        </w:rPr>
        <w:t>推出，日本超智能社会建设目标的推进</w:t>
      </w:r>
      <w:r>
        <w:rPr>
          <w:rFonts w:hint="eastAsia" w:cs="微软雅黑" w:asciiTheme="majorEastAsia" w:hAnsiTheme="majorEastAsia" w:eastAsiaTheme="majorEastAsia"/>
          <w:kern w:val="2"/>
        </w:rPr>
        <w:t>，中</w:t>
      </w:r>
      <w:r>
        <w:rPr>
          <w:rFonts w:cs="微软雅黑" w:asciiTheme="majorEastAsia" w:hAnsiTheme="majorEastAsia" w:eastAsiaTheme="majorEastAsia"/>
          <w:kern w:val="2"/>
        </w:rPr>
        <w:t>国数字经济战略的</w:t>
      </w:r>
      <w:r>
        <w:rPr>
          <w:rFonts w:hint="eastAsia" w:cs="微软雅黑" w:asciiTheme="majorEastAsia" w:hAnsiTheme="majorEastAsia" w:eastAsiaTheme="majorEastAsia"/>
          <w:kern w:val="2"/>
        </w:rPr>
        <w:t>提出</w:t>
      </w:r>
      <w:r>
        <w:rPr>
          <w:rFonts w:cs="微软雅黑" w:asciiTheme="majorEastAsia" w:hAnsiTheme="majorEastAsia" w:eastAsiaTheme="majorEastAsia"/>
          <w:kern w:val="2"/>
        </w:rPr>
        <w:t>，都表明了世界</w:t>
      </w:r>
      <w:r>
        <w:rPr>
          <w:rFonts w:hint="eastAsia" w:cs="微软雅黑" w:asciiTheme="majorEastAsia" w:hAnsiTheme="majorEastAsia" w:eastAsiaTheme="majorEastAsia"/>
          <w:kern w:val="2"/>
        </w:rPr>
        <w:t>经</w:t>
      </w:r>
      <w:r>
        <w:rPr>
          <w:rFonts w:cs="微软雅黑" w:asciiTheme="majorEastAsia" w:hAnsiTheme="majorEastAsia" w:eastAsiaTheme="majorEastAsia"/>
          <w:kern w:val="2"/>
        </w:rPr>
        <w:t>济巨头们</w:t>
      </w:r>
      <w:r>
        <w:rPr>
          <w:rFonts w:hint="eastAsia" w:cs="微软雅黑" w:asciiTheme="majorEastAsia" w:hAnsiTheme="majorEastAsia" w:eastAsiaTheme="majorEastAsia"/>
          <w:kern w:val="2"/>
        </w:rPr>
        <w:t>眼中</w:t>
      </w:r>
      <w:r>
        <w:rPr>
          <w:rFonts w:cs="微软雅黑" w:asciiTheme="majorEastAsia" w:hAnsiTheme="majorEastAsia" w:eastAsiaTheme="majorEastAsia"/>
          <w:kern w:val="2"/>
        </w:rPr>
        <w:t>看到的未来！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产</w:t>
      </w:r>
      <w:r>
        <w:rPr>
          <w:rFonts w:cs="微软雅黑" w:asciiTheme="majorEastAsia" w:hAnsiTheme="majorEastAsia" w:eastAsiaTheme="majorEastAsia"/>
          <w:b/>
          <w:kern w:val="2"/>
        </w:rPr>
        <w:t>品服务化与服务产品化将是未来中国企业的</w:t>
      </w:r>
      <w:r>
        <w:rPr>
          <w:rFonts w:hint="eastAsia" w:cs="微软雅黑" w:asciiTheme="majorEastAsia" w:hAnsiTheme="majorEastAsia" w:eastAsiaTheme="majorEastAsia"/>
          <w:b/>
          <w:kern w:val="2"/>
        </w:rPr>
        <w:t>战略</w:t>
      </w:r>
      <w:r>
        <w:rPr>
          <w:rFonts w:cs="微软雅黑" w:asciiTheme="majorEastAsia" w:hAnsiTheme="majorEastAsia" w:eastAsiaTheme="majorEastAsia"/>
          <w:b/>
          <w:kern w:val="2"/>
        </w:rPr>
        <w:t>之本！</w:t>
      </w:r>
      <w:r>
        <w:rPr>
          <w:rFonts w:hint="eastAsia" w:cs="微软雅黑" w:asciiTheme="majorEastAsia" w:hAnsiTheme="majorEastAsia" w:eastAsiaTheme="majorEastAsia"/>
          <w:kern w:val="2"/>
        </w:rPr>
        <w:t>互</w:t>
      </w:r>
      <w:r>
        <w:rPr>
          <w:rFonts w:cs="微软雅黑" w:asciiTheme="majorEastAsia" w:hAnsiTheme="majorEastAsia" w:eastAsiaTheme="majorEastAsia"/>
          <w:kern w:val="2"/>
        </w:rPr>
        <w:t>联网</w:t>
      </w:r>
      <w:r>
        <w:rPr>
          <w:rFonts w:hint="eastAsia" w:cs="微软雅黑" w:asciiTheme="majorEastAsia" w:hAnsiTheme="majorEastAsia" w:eastAsiaTheme="majorEastAsia"/>
          <w:kern w:val="2"/>
        </w:rPr>
        <w:t>让</w:t>
      </w:r>
      <w:r>
        <w:rPr>
          <w:rFonts w:cs="微软雅黑" w:asciiTheme="majorEastAsia" w:hAnsiTheme="majorEastAsia" w:eastAsiaTheme="majorEastAsia"/>
          <w:kern w:val="2"/>
        </w:rPr>
        <w:t>消费者</w:t>
      </w:r>
      <w:r>
        <w:rPr>
          <w:rFonts w:hint="eastAsia" w:cs="微软雅黑" w:asciiTheme="majorEastAsia" w:hAnsiTheme="majorEastAsia" w:eastAsiaTheme="majorEastAsia"/>
          <w:kern w:val="2"/>
        </w:rPr>
        <w:t>聚焦</w:t>
      </w:r>
      <w:r>
        <w:rPr>
          <w:rFonts w:cs="微软雅黑" w:asciiTheme="majorEastAsia" w:hAnsiTheme="majorEastAsia" w:eastAsiaTheme="majorEastAsia"/>
          <w:kern w:val="2"/>
        </w:rPr>
        <w:t>于服务的</w:t>
      </w:r>
      <w:r>
        <w:rPr>
          <w:rFonts w:hint="eastAsia" w:cs="微软雅黑" w:asciiTheme="majorEastAsia" w:hAnsiTheme="majorEastAsia" w:eastAsiaTheme="majorEastAsia"/>
          <w:kern w:val="2"/>
        </w:rPr>
        <w:t>口碑</w:t>
      </w:r>
      <w:r>
        <w:rPr>
          <w:rFonts w:cs="微软雅黑" w:asciiTheme="majorEastAsia" w:hAnsiTheme="majorEastAsia" w:eastAsiaTheme="majorEastAsia"/>
          <w:kern w:val="2"/>
        </w:rPr>
        <w:t>，而不再关注产品的品牌。云</w:t>
      </w:r>
      <w:r>
        <w:rPr>
          <w:rFonts w:hint="eastAsia" w:cs="微软雅黑" w:asciiTheme="majorEastAsia" w:hAnsiTheme="majorEastAsia" w:eastAsiaTheme="majorEastAsia"/>
          <w:kern w:val="2"/>
        </w:rPr>
        <w:t>计算、</w:t>
      </w:r>
      <w:r>
        <w:rPr>
          <w:rFonts w:cs="微软雅黑" w:asciiTheme="majorEastAsia" w:hAnsiTheme="majorEastAsia" w:eastAsiaTheme="majorEastAsia"/>
          <w:kern w:val="2"/>
        </w:rPr>
        <w:t>共享经济等互联网平台</w:t>
      </w:r>
      <w:r>
        <w:rPr>
          <w:rFonts w:hint="eastAsia" w:cs="微软雅黑" w:asciiTheme="majorEastAsia" w:hAnsiTheme="majorEastAsia" w:eastAsiaTheme="majorEastAsia"/>
          <w:kern w:val="2"/>
        </w:rPr>
        <w:t>让</w:t>
      </w:r>
      <w:r>
        <w:rPr>
          <w:rFonts w:cs="微软雅黑" w:asciiTheme="majorEastAsia" w:hAnsiTheme="majorEastAsia" w:eastAsiaTheme="majorEastAsia"/>
          <w:kern w:val="2"/>
        </w:rPr>
        <w:t>众多产品型传统</w:t>
      </w:r>
      <w:r>
        <w:rPr>
          <w:rFonts w:hint="eastAsia" w:cs="微软雅黑" w:asciiTheme="majorEastAsia" w:hAnsiTheme="majorEastAsia" w:eastAsiaTheme="majorEastAsia"/>
          <w:kern w:val="2"/>
        </w:rPr>
        <w:t>百年</w:t>
      </w:r>
      <w:r>
        <w:rPr>
          <w:rFonts w:cs="微软雅黑" w:asciiTheme="majorEastAsia" w:hAnsiTheme="majorEastAsia" w:eastAsiaTheme="majorEastAsia"/>
          <w:kern w:val="2"/>
        </w:rPr>
        <w:t>老</w:t>
      </w:r>
      <w:r>
        <w:rPr>
          <w:rFonts w:hint="eastAsia" w:cs="微软雅黑" w:asciiTheme="majorEastAsia" w:hAnsiTheme="majorEastAsia" w:eastAsiaTheme="majorEastAsia"/>
          <w:kern w:val="2"/>
        </w:rPr>
        <w:t>企一朝沦</w:t>
      </w:r>
      <w:r>
        <w:rPr>
          <w:rFonts w:cs="微软雅黑" w:asciiTheme="majorEastAsia" w:hAnsiTheme="majorEastAsia" w:eastAsiaTheme="majorEastAsia"/>
          <w:kern w:val="2"/>
        </w:rPr>
        <w:t>为代工厂商，最后的一丝与最终用户的联系也被悍然切断。</w:t>
      </w:r>
      <w:r>
        <w:rPr>
          <w:rFonts w:hint="eastAsia" w:cs="微软雅黑" w:asciiTheme="majorEastAsia" w:hAnsiTheme="majorEastAsia" w:eastAsiaTheme="majorEastAsia"/>
          <w:kern w:val="2"/>
        </w:rPr>
        <w:t>万幸</w:t>
      </w:r>
      <w:r>
        <w:rPr>
          <w:rFonts w:cs="微软雅黑" w:asciiTheme="majorEastAsia" w:hAnsiTheme="majorEastAsia" w:eastAsiaTheme="majorEastAsia"/>
          <w:kern w:val="2"/>
        </w:rPr>
        <w:t>！及早战略转型，适应互联网时代的传统企业</w:t>
      </w:r>
      <w:r>
        <w:rPr>
          <w:rFonts w:hint="eastAsia" w:cs="微软雅黑" w:asciiTheme="majorEastAsia" w:hAnsiTheme="majorEastAsia" w:eastAsiaTheme="majorEastAsia"/>
          <w:kern w:val="2"/>
        </w:rPr>
        <w:t>已</w:t>
      </w:r>
      <w:r>
        <w:rPr>
          <w:rFonts w:cs="微软雅黑" w:asciiTheme="majorEastAsia" w:hAnsiTheme="majorEastAsia" w:eastAsiaTheme="majorEastAsia"/>
          <w:kern w:val="2"/>
        </w:rPr>
        <w:t>走出一条条拥抱未来的辉煌</w:t>
      </w:r>
      <w:r>
        <w:rPr>
          <w:rFonts w:hint="eastAsia" w:cs="微软雅黑" w:asciiTheme="majorEastAsia" w:hAnsiTheme="majorEastAsia" w:eastAsiaTheme="majorEastAsia"/>
          <w:kern w:val="2"/>
        </w:rPr>
        <w:t>之路</w:t>
      </w:r>
      <w:r>
        <w:rPr>
          <w:rFonts w:cs="微软雅黑" w:asciiTheme="majorEastAsia" w:hAnsiTheme="majorEastAsia" w:eastAsiaTheme="majorEastAsia"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hint="eastAsia"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人口红</w:t>
      </w:r>
      <w:r>
        <w:rPr>
          <w:rFonts w:cs="微软雅黑" w:asciiTheme="majorEastAsia" w:hAnsiTheme="majorEastAsia" w:eastAsiaTheme="majorEastAsia"/>
          <w:b/>
          <w:kern w:val="2"/>
        </w:rPr>
        <w:t>利转为数据红利</w:t>
      </w:r>
      <w:r>
        <w:rPr>
          <w:rFonts w:hint="eastAsia" w:cs="微软雅黑" w:asciiTheme="majorEastAsia" w:hAnsiTheme="majorEastAsia" w:eastAsiaTheme="majorEastAsia"/>
          <w:b/>
          <w:kern w:val="2"/>
        </w:rPr>
        <w:t>将</w:t>
      </w:r>
      <w:r>
        <w:rPr>
          <w:rFonts w:cs="微软雅黑" w:asciiTheme="majorEastAsia" w:hAnsiTheme="majorEastAsia" w:eastAsiaTheme="majorEastAsia"/>
          <w:b/>
          <w:kern w:val="2"/>
        </w:rPr>
        <w:t>是未来中国经济的腾飞</w:t>
      </w:r>
      <w:r>
        <w:rPr>
          <w:rFonts w:hint="eastAsia" w:cs="微软雅黑" w:asciiTheme="majorEastAsia" w:hAnsiTheme="majorEastAsia" w:eastAsiaTheme="majorEastAsia"/>
          <w:b/>
          <w:kern w:val="2"/>
        </w:rPr>
        <w:t>大道</w:t>
      </w:r>
      <w:r>
        <w:rPr>
          <w:rFonts w:cs="微软雅黑" w:asciiTheme="majorEastAsia" w:hAnsiTheme="majorEastAsia" w:eastAsiaTheme="majorEastAsia"/>
          <w:b/>
          <w:kern w:val="2"/>
        </w:rPr>
        <w:t>！</w:t>
      </w:r>
      <w:r>
        <w:rPr>
          <w:rFonts w:cs="微软雅黑" w:asciiTheme="majorEastAsia" w:hAnsiTheme="majorEastAsia" w:eastAsiaTheme="majorEastAsia"/>
          <w:kern w:val="2"/>
        </w:rPr>
        <w:t>互联网</w:t>
      </w:r>
      <w:r>
        <w:rPr>
          <w:rFonts w:hint="eastAsia" w:cs="微软雅黑" w:asciiTheme="majorEastAsia" w:hAnsiTheme="majorEastAsia" w:eastAsiaTheme="majorEastAsia"/>
          <w:kern w:val="2"/>
        </w:rPr>
        <w:t>与</w:t>
      </w:r>
      <w:r>
        <w:rPr>
          <w:rFonts w:cs="微软雅黑" w:asciiTheme="majorEastAsia" w:hAnsiTheme="majorEastAsia" w:eastAsiaTheme="majorEastAsia"/>
          <w:kern w:val="2"/>
        </w:rPr>
        <w:t>人工</w:t>
      </w:r>
      <w:r>
        <w:rPr>
          <w:rFonts w:hint="eastAsia" w:cs="微软雅黑" w:asciiTheme="majorEastAsia" w:hAnsiTheme="majorEastAsia" w:eastAsiaTheme="majorEastAsia"/>
          <w:kern w:val="2"/>
        </w:rPr>
        <w:t>智能</w:t>
      </w:r>
      <w:r>
        <w:rPr>
          <w:rFonts w:cs="微软雅黑" w:asciiTheme="majorEastAsia" w:hAnsiTheme="majorEastAsia" w:eastAsiaTheme="majorEastAsia"/>
          <w:kern w:val="2"/>
        </w:rPr>
        <w:t>的结合</w:t>
      </w:r>
      <w:r>
        <w:rPr>
          <w:rFonts w:hint="eastAsia" w:cs="微软雅黑" w:asciiTheme="majorEastAsia" w:hAnsiTheme="majorEastAsia" w:eastAsiaTheme="majorEastAsia"/>
          <w:kern w:val="2"/>
        </w:rPr>
        <w:t>无限</w:t>
      </w:r>
      <w:r>
        <w:rPr>
          <w:rFonts w:cs="微软雅黑" w:asciiTheme="majorEastAsia" w:hAnsiTheme="majorEastAsia" w:eastAsiaTheme="majorEastAsia"/>
          <w:kern w:val="2"/>
        </w:rPr>
        <w:t>放大了数字经济的数据渴望</w:t>
      </w:r>
      <w:r>
        <w:rPr>
          <w:rFonts w:hint="eastAsia" w:cs="微软雅黑" w:asciiTheme="majorEastAsia" w:hAnsiTheme="majorEastAsia" w:eastAsiaTheme="majorEastAsia"/>
          <w:kern w:val="2"/>
        </w:rPr>
        <w:t>，</w:t>
      </w:r>
      <w:r>
        <w:rPr>
          <w:rFonts w:cs="微软雅黑" w:asciiTheme="majorEastAsia" w:hAnsiTheme="majorEastAsia" w:eastAsiaTheme="majorEastAsia"/>
          <w:kern w:val="2"/>
        </w:rPr>
        <w:t>而中国</w:t>
      </w:r>
      <w:r>
        <w:rPr>
          <w:rFonts w:hint="eastAsia" w:cs="微软雅黑" w:asciiTheme="majorEastAsia" w:hAnsiTheme="majorEastAsia" w:eastAsiaTheme="majorEastAsia"/>
          <w:kern w:val="2"/>
        </w:rPr>
        <w:t>7.5亿网民和</w:t>
      </w:r>
      <w:r>
        <w:rPr>
          <w:rFonts w:cs="微软雅黑" w:asciiTheme="majorEastAsia" w:hAnsiTheme="majorEastAsia" w:eastAsiaTheme="majorEastAsia"/>
          <w:kern w:val="2"/>
        </w:rPr>
        <w:t>广博市场的海量数据，将</w:t>
      </w:r>
      <w:r>
        <w:rPr>
          <w:rFonts w:hint="eastAsia" w:cs="微软雅黑" w:asciiTheme="majorEastAsia" w:hAnsiTheme="majorEastAsia" w:eastAsiaTheme="majorEastAsia"/>
          <w:kern w:val="2"/>
        </w:rPr>
        <w:t>给</w:t>
      </w:r>
      <w:r>
        <w:rPr>
          <w:rFonts w:cs="微软雅黑" w:asciiTheme="majorEastAsia" w:hAnsiTheme="majorEastAsia" w:eastAsiaTheme="majorEastAsia"/>
          <w:kern w:val="2"/>
        </w:rPr>
        <w:t>中国未来世界级企业的出现与成熟</w:t>
      </w:r>
      <w:r>
        <w:rPr>
          <w:rFonts w:hint="eastAsia" w:cs="微软雅黑" w:asciiTheme="majorEastAsia" w:hAnsiTheme="majorEastAsia" w:eastAsiaTheme="majorEastAsia"/>
          <w:kern w:val="2"/>
        </w:rPr>
        <w:t>，</w:t>
      </w:r>
      <w:r>
        <w:rPr>
          <w:rFonts w:cs="微软雅黑" w:asciiTheme="majorEastAsia" w:hAnsiTheme="majorEastAsia" w:eastAsiaTheme="majorEastAsia"/>
          <w:kern w:val="2"/>
        </w:rPr>
        <w:t>加油</w:t>
      </w:r>
      <w:r>
        <w:rPr>
          <w:rFonts w:hint="eastAsia" w:cs="微软雅黑" w:asciiTheme="majorEastAsia" w:hAnsiTheme="majorEastAsia" w:eastAsiaTheme="majorEastAsia"/>
          <w:kern w:val="2"/>
        </w:rPr>
        <w:t>、</w:t>
      </w:r>
      <w:r>
        <w:rPr>
          <w:rFonts w:cs="微软雅黑" w:asciiTheme="majorEastAsia" w:hAnsiTheme="majorEastAsia" w:eastAsiaTheme="majorEastAsia"/>
          <w:kern w:val="2"/>
        </w:rPr>
        <w:t>加速、</w:t>
      </w:r>
      <w:r>
        <w:rPr>
          <w:rFonts w:hint="eastAsia" w:cs="微软雅黑" w:asciiTheme="majorEastAsia" w:hAnsiTheme="majorEastAsia" w:eastAsiaTheme="majorEastAsia"/>
          <w:kern w:val="2"/>
        </w:rPr>
        <w:t>加冕</w:t>
      </w:r>
      <w:r>
        <w:rPr>
          <w:rFonts w:cs="微软雅黑" w:asciiTheme="majorEastAsia" w:hAnsiTheme="majorEastAsia" w:eastAsiaTheme="majorEastAsia"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kern w:val="2"/>
        </w:rPr>
        <w:t>搭乘</w:t>
      </w:r>
      <w:r>
        <w:rPr>
          <w:rFonts w:cs="微软雅黑" w:asciiTheme="majorEastAsia" w:hAnsiTheme="majorEastAsia" w:eastAsiaTheme="majorEastAsia"/>
          <w:kern w:val="2"/>
        </w:rPr>
        <w:t>互联网腾飞</w:t>
      </w:r>
      <w:r>
        <w:rPr>
          <w:rFonts w:hint="eastAsia" w:cs="微软雅黑" w:asciiTheme="majorEastAsia" w:hAnsiTheme="majorEastAsia" w:eastAsiaTheme="majorEastAsia"/>
          <w:kern w:val="2"/>
        </w:rPr>
        <w:t>之</w:t>
      </w:r>
      <w:r>
        <w:rPr>
          <w:rFonts w:cs="微软雅黑" w:asciiTheme="majorEastAsia" w:hAnsiTheme="majorEastAsia" w:eastAsiaTheme="majorEastAsia"/>
          <w:kern w:val="2"/>
        </w:rPr>
        <w:t>风，</w:t>
      </w:r>
      <w:r>
        <w:rPr>
          <w:rFonts w:hint="eastAsia" w:cs="微软雅黑" w:asciiTheme="majorEastAsia" w:hAnsiTheme="majorEastAsia" w:eastAsiaTheme="majorEastAsia"/>
          <w:kern w:val="2"/>
        </w:rPr>
        <w:t>抛却</w:t>
      </w:r>
      <w:r>
        <w:rPr>
          <w:rFonts w:cs="微软雅黑" w:asciiTheme="majorEastAsia" w:hAnsiTheme="majorEastAsia" w:eastAsiaTheme="majorEastAsia"/>
          <w:kern w:val="2"/>
        </w:rPr>
        <w:t>旧观念</w:t>
      </w:r>
      <w:r>
        <w:rPr>
          <w:rFonts w:hint="eastAsia" w:cs="微软雅黑" w:asciiTheme="majorEastAsia" w:hAnsiTheme="majorEastAsia" w:eastAsiaTheme="majorEastAsia"/>
          <w:kern w:val="2"/>
        </w:rPr>
        <w:t>旧</w:t>
      </w:r>
      <w:r>
        <w:rPr>
          <w:rFonts w:cs="微软雅黑" w:asciiTheme="majorEastAsia" w:hAnsiTheme="majorEastAsia" w:eastAsiaTheme="majorEastAsia"/>
          <w:kern w:val="2"/>
        </w:rPr>
        <w:t>战略束缚，</w:t>
      </w:r>
      <w:r>
        <w:rPr>
          <w:rFonts w:hint="eastAsia" w:cs="微软雅黑" w:asciiTheme="majorEastAsia" w:hAnsiTheme="majorEastAsia" w:eastAsiaTheme="majorEastAsia"/>
          <w:kern w:val="2"/>
        </w:rPr>
        <w:t>聆听北京大学与互联网业界顶级专家传道，探索</w:t>
      </w:r>
      <w:r>
        <w:rPr>
          <w:rFonts w:cs="微软雅黑" w:asciiTheme="majorEastAsia" w:hAnsiTheme="majorEastAsia" w:eastAsiaTheme="majorEastAsia"/>
          <w:kern w:val="2"/>
        </w:rPr>
        <w:t>企业进军数</w:t>
      </w:r>
      <w:r>
        <w:rPr>
          <w:rFonts w:hint="eastAsia" w:cs="微软雅黑" w:asciiTheme="majorEastAsia" w:hAnsiTheme="majorEastAsia" w:eastAsiaTheme="majorEastAsia"/>
          <w:kern w:val="2"/>
        </w:rPr>
        <w:t>字</w:t>
      </w:r>
      <w:r>
        <w:rPr>
          <w:rFonts w:cs="微软雅黑" w:asciiTheme="majorEastAsia" w:hAnsiTheme="majorEastAsia" w:eastAsiaTheme="majorEastAsia"/>
          <w:kern w:val="2"/>
        </w:rPr>
        <w:t>经济之本，</w:t>
      </w:r>
      <w:r>
        <w:rPr>
          <w:rFonts w:hint="eastAsia" w:cs="微软雅黑" w:asciiTheme="majorEastAsia" w:hAnsiTheme="majorEastAsia" w:eastAsiaTheme="majorEastAsia"/>
          <w:kern w:val="2"/>
        </w:rPr>
        <w:t>打造</w:t>
      </w:r>
      <w:r>
        <w:rPr>
          <w:rFonts w:cs="微软雅黑" w:asciiTheme="majorEastAsia" w:hAnsiTheme="majorEastAsia" w:eastAsiaTheme="majorEastAsia"/>
          <w:kern w:val="2"/>
        </w:rPr>
        <w:t>企业</w:t>
      </w:r>
      <w:r>
        <w:rPr>
          <w:rFonts w:hint="eastAsia" w:cs="微软雅黑" w:asciiTheme="majorEastAsia" w:hAnsiTheme="majorEastAsia" w:eastAsiaTheme="majorEastAsia"/>
          <w:kern w:val="2"/>
        </w:rPr>
        <w:t>互联网</w:t>
      </w:r>
      <w:r>
        <w:rPr>
          <w:rFonts w:cs="微软雅黑" w:asciiTheme="majorEastAsia" w:hAnsiTheme="majorEastAsia" w:eastAsiaTheme="majorEastAsia"/>
          <w:kern w:val="2"/>
        </w:rPr>
        <w:t>时代模式与团队。</w:t>
      </w:r>
      <w:r>
        <w:rPr>
          <w:rFonts w:hint="eastAsia" w:cs="微软雅黑" w:asciiTheme="majorEastAsia" w:hAnsiTheme="majorEastAsia" w:eastAsiaTheme="majorEastAsia"/>
          <w:b/>
          <w:kern w:val="2"/>
        </w:rPr>
        <w:t>未来</w:t>
      </w:r>
      <w:r>
        <w:rPr>
          <w:rFonts w:cs="微软雅黑" w:asciiTheme="majorEastAsia" w:hAnsiTheme="majorEastAsia" w:eastAsiaTheme="majorEastAsia"/>
          <w:b/>
          <w:kern w:val="2"/>
        </w:rPr>
        <w:t>已来</w:t>
      </w:r>
      <w:r>
        <w:rPr>
          <w:rFonts w:hint="eastAsia" w:cs="微软雅黑" w:asciiTheme="majorEastAsia" w:hAnsiTheme="majorEastAsia" w:eastAsiaTheme="majorEastAsia"/>
          <w:b/>
          <w:kern w:val="2"/>
        </w:rPr>
        <w:t>。您的</w:t>
      </w:r>
      <w:r>
        <w:rPr>
          <w:rFonts w:cs="微软雅黑" w:asciiTheme="majorEastAsia" w:hAnsiTheme="majorEastAsia" w:eastAsiaTheme="majorEastAsia"/>
          <w:b/>
          <w:kern w:val="2"/>
        </w:rPr>
        <w:t>企业，准备好了么</w:t>
      </w:r>
      <w:r>
        <w:rPr>
          <w:rFonts w:hint="eastAsia" w:cs="微软雅黑" w:asciiTheme="majorEastAsia" w:hAnsiTheme="majorEastAsia" w:eastAsiaTheme="majorEastAsia"/>
          <w:b/>
          <w:kern w:val="2"/>
        </w:rPr>
        <w:t>？</w:t>
      </w:r>
      <w:r>
        <w:rPr>
          <w:rFonts w:cs="微软雅黑" w:asciiTheme="majorEastAsia" w:hAnsiTheme="majorEastAsia" w:eastAsiaTheme="majorEastAsia"/>
          <w:b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hint="eastAsia" w:cs="微软雅黑" w:asciiTheme="majorEastAsia" w:hAnsiTheme="majorEastAsia" w:eastAsiaTheme="majorEastAsia"/>
          <w:kern w:val="2"/>
        </w:rPr>
      </w:pPr>
    </w:p>
    <w:p>
      <w:pPr>
        <w:spacing w:line="360" w:lineRule="auto"/>
        <w:ind w:left="-199" w:leftChars="-95"/>
        <w:rPr>
          <w:rFonts w:asciiTheme="minorEastAsia" w:hAnsiTheme="minorEastAsia" w:eastAsiaTheme="minorEastAsia" w:cstheme="minorEastAsia"/>
          <w:b/>
          <w:color w:val="1A857D"/>
          <w:sz w:val="28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122555</wp:posOffset>
            </wp:positionV>
            <wp:extent cx="485775" cy="168275"/>
            <wp:effectExtent l="0" t="0" r="9525" b="9525"/>
            <wp:wrapNone/>
            <wp:docPr id="19" name="图片 19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项目使命</w:t>
      </w:r>
      <w:r>
        <w:rPr>
          <w:rFonts w:hint="eastAsia" w:asciiTheme="minorEastAsia" w:hAnsiTheme="minorEastAsia" w:eastAsiaTheme="minorEastAsia" w:cstheme="minorEastAsia"/>
          <w:b/>
          <w:color w:val="1A857D"/>
          <w:sz w:val="28"/>
        </w:rPr>
        <w:t xml:space="preserve"> </w:t>
      </w: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我们要助力企业家参透互联网时代变革本质，创建体验式学习体系，发现传统企业移动互联网时代的多面价值属性！我们要提供给企业家的是实战而不是演练！平台提供技术团队、专家资源等，将想法变为现实；平台＋学员+导师+投资人共同实战，运用群体智慧共同孵化互联网“时代级企业”！</w:t>
      </w:r>
      <w:r>
        <w:rPr>
          <w:rFonts w:cs="微软雅黑" w:asciiTheme="majorEastAsia" w:hAnsiTheme="majorEastAsia" w:eastAsiaTheme="major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92" w:leftChars="-95" w:hanging="7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89535</wp:posOffset>
            </wp:positionV>
            <wp:extent cx="485775" cy="168275"/>
            <wp:effectExtent l="0" t="0" r="9525" b="9525"/>
            <wp:wrapNone/>
            <wp:docPr id="13" name="图片 13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项目价值</w:t>
      </w:r>
    </w:p>
    <w:p>
      <w:pPr>
        <w:pStyle w:val="5"/>
        <w:spacing w:before="0" w:beforeAutospacing="0" w:after="0" w:afterAutospacing="0" w:line="500" w:lineRule="exact"/>
        <w:ind w:firstLine="280" w:firstLineChars="100"/>
        <w:jc w:val="both"/>
        <w:rPr>
          <w:rFonts w:cs="微软雅黑" w:asciiTheme="majorEastAsia" w:hAnsiTheme="majorEastAsia" w:eastAsiaTheme="majorEastAsia"/>
          <w:b/>
          <w:bCs/>
          <w:kern w:val="2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1、</w:t>
      </w:r>
      <w:r>
        <w:rPr>
          <w:rFonts w:hint="eastAsia" w:cs="微软雅黑" w:asciiTheme="majorEastAsia" w:hAnsiTheme="majorEastAsia" w:eastAsiaTheme="majorEastAsia"/>
          <w:b/>
          <w:bCs/>
        </w:rPr>
        <w:t>落地</w:t>
      </w:r>
      <w:r>
        <w:rPr>
          <w:rFonts w:cs="微软雅黑" w:asciiTheme="majorEastAsia" w:hAnsiTheme="majorEastAsia" w:eastAsiaTheme="majorEastAsia"/>
          <w:b/>
          <w:bCs/>
        </w:rPr>
        <w:t>实践方案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（案例授课</w:t>
      </w:r>
      <w:r>
        <w:rPr>
          <w:rFonts w:cs="微软雅黑" w:asciiTheme="majorEastAsia" w:hAnsiTheme="majorEastAsia" w:eastAsiaTheme="majorEastAsia"/>
          <w:b/>
          <w:bCs/>
          <w:kern w:val="2"/>
        </w:rPr>
        <w:t>，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实践模拟，</w:t>
      </w:r>
      <w:r>
        <w:rPr>
          <w:rFonts w:cs="微软雅黑" w:asciiTheme="majorEastAsia" w:hAnsiTheme="majorEastAsia" w:eastAsiaTheme="majorEastAsia"/>
          <w:b/>
          <w:bCs/>
          <w:kern w:val="2"/>
        </w:rPr>
        <w:t>工具应用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）</w:t>
      </w:r>
    </w:p>
    <w:p>
      <w:pPr>
        <w:pStyle w:val="10"/>
        <w:tabs>
          <w:tab w:val="left" w:pos="142"/>
        </w:tabs>
        <w:spacing w:line="500" w:lineRule="exact"/>
        <w:ind w:left="-1" w:firstLine="280" w:firstLineChars="100"/>
        <w:rPr>
          <w:rFonts w:cs="微软雅黑" w:asciiTheme="majorEastAsia" w:hAnsiTheme="majorEastAsia" w:eastAsiaTheme="majorEastAsia"/>
          <w:b/>
          <w:bCs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2、</w:t>
      </w:r>
      <w:r>
        <w:rPr>
          <w:rFonts w:hint="eastAsia" w:cs="微软雅黑" w:asciiTheme="majorEastAsia" w:hAnsiTheme="majorEastAsia" w:eastAsiaTheme="majorEastAsia"/>
          <w:b/>
          <w:bCs/>
        </w:rPr>
        <w:t>创新</w:t>
      </w:r>
      <w:r>
        <w:rPr>
          <w:rFonts w:cs="微软雅黑" w:asciiTheme="majorEastAsia" w:hAnsiTheme="majorEastAsia" w:eastAsiaTheme="majorEastAsia"/>
          <w:b/>
          <w:bCs/>
        </w:rPr>
        <w:t>战略思维</w:t>
      </w:r>
      <w:r>
        <w:rPr>
          <w:rFonts w:hint="eastAsia" w:cs="微软雅黑" w:asciiTheme="majorEastAsia" w:hAnsiTheme="majorEastAsia" w:eastAsiaTheme="majorEastAsia"/>
          <w:b/>
          <w:bCs/>
        </w:rPr>
        <w:t>（未来</w:t>
      </w:r>
      <w:r>
        <w:rPr>
          <w:rFonts w:cs="微软雅黑" w:asciiTheme="majorEastAsia" w:hAnsiTheme="majorEastAsia" w:eastAsiaTheme="majorEastAsia"/>
          <w:b/>
          <w:bCs/>
        </w:rPr>
        <w:t>战略，互联网转型，</w:t>
      </w:r>
      <w:r>
        <w:rPr>
          <w:rFonts w:hint="eastAsia" w:cs="微软雅黑" w:asciiTheme="majorEastAsia" w:hAnsiTheme="majorEastAsia" w:eastAsiaTheme="majorEastAsia"/>
          <w:b/>
          <w:bCs/>
        </w:rPr>
        <w:t>未来</w:t>
      </w:r>
      <w:r>
        <w:rPr>
          <w:rFonts w:cs="微软雅黑" w:asciiTheme="majorEastAsia" w:hAnsiTheme="majorEastAsia" w:eastAsiaTheme="majorEastAsia"/>
          <w:b/>
          <w:bCs/>
        </w:rPr>
        <w:t>大</w:t>
      </w:r>
      <w:r>
        <w:rPr>
          <w:rFonts w:hint="eastAsia" w:cs="微软雅黑" w:asciiTheme="majorEastAsia" w:hAnsiTheme="majorEastAsia" w:eastAsiaTheme="majorEastAsia"/>
          <w:b/>
          <w:bCs/>
        </w:rPr>
        <w:t>势</w:t>
      </w:r>
      <w:r>
        <w:rPr>
          <w:rFonts w:cs="微软雅黑" w:asciiTheme="majorEastAsia" w:hAnsiTheme="majorEastAsia" w:eastAsiaTheme="majorEastAsia"/>
          <w:b/>
          <w:bCs/>
        </w:rPr>
        <w:t>分析等</w:t>
      </w:r>
      <w:r>
        <w:rPr>
          <w:rFonts w:hint="eastAsia" w:cs="微软雅黑" w:asciiTheme="majorEastAsia" w:hAnsiTheme="majorEastAsia" w:eastAsiaTheme="majorEastAsia"/>
          <w:b/>
          <w:bCs/>
        </w:rPr>
        <w:t>）</w:t>
      </w:r>
    </w:p>
    <w:p>
      <w:pPr>
        <w:pStyle w:val="5"/>
        <w:spacing w:before="0" w:beforeAutospacing="0" w:after="0" w:afterAutospacing="0" w:line="500" w:lineRule="exact"/>
        <w:ind w:firstLine="280" w:firstLineChars="100"/>
        <w:jc w:val="both"/>
        <w:rPr>
          <w:rFonts w:cs="微软雅黑" w:asciiTheme="majorEastAsia" w:hAnsiTheme="majorEastAsia" w:eastAsiaTheme="majorEastAsia"/>
          <w:b/>
          <w:bCs/>
          <w:kern w:val="2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3、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共享数据平台（生态</w:t>
      </w:r>
      <w:r>
        <w:rPr>
          <w:rFonts w:cs="微软雅黑" w:asciiTheme="majorEastAsia" w:hAnsiTheme="majorEastAsia" w:eastAsiaTheme="majorEastAsia"/>
          <w:b/>
          <w:bCs/>
          <w:kern w:val="2"/>
        </w:rPr>
        <w:t>化，平台化，行业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，</w:t>
      </w:r>
      <w:r>
        <w:rPr>
          <w:rFonts w:cs="微软雅黑" w:asciiTheme="majorEastAsia" w:hAnsiTheme="majorEastAsia" w:eastAsiaTheme="majorEastAsia"/>
          <w:b/>
          <w:bCs/>
          <w:kern w:val="2"/>
        </w:rPr>
        <w:t>集群发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展）</w:t>
      </w:r>
    </w:p>
    <w:p>
      <w:pPr>
        <w:pStyle w:val="10"/>
        <w:tabs>
          <w:tab w:val="left" w:pos="142"/>
        </w:tabs>
        <w:spacing w:line="500" w:lineRule="exact"/>
        <w:ind w:left="-1" w:firstLine="280" w:firstLineChars="1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</w:rPr>
        <w:t>持续综合</w:t>
      </w:r>
      <w:r>
        <w:rPr>
          <w:rFonts w:asciiTheme="minorEastAsia" w:hAnsiTheme="minorEastAsia" w:eastAsiaTheme="minorEastAsia" w:cstheme="minorEastAsia"/>
          <w:b/>
          <w:bCs/>
        </w:rPr>
        <w:t>服务</w:t>
      </w:r>
      <w:r>
        <w:rPr>
          <w:rFonts w:hint="eastAsia" w:asciiTheme="minorEastAsia" w:hAnsiTheme="minorEastAsia" w:eastAsiaTheme="minorEastAsia" w:cstheme="minorEastAsia"/>
          <w:b/>
          <w:bCs/>
        </w:rPr>
        <w:t>（跟踪服务</w:t>
      </w:r>
      <w:r>
        <w:rPr>
          <w:rFonts w:asciiTheme="minorEastAsia" w:hAnsiTheme="minorEastAsia" w:eastAsiaTheme="minorEastAsia" w:cstheme="minorEastAsia"/>
          <w:b/>
          <w:bCs/>
        </w:rPr>
        <w:t>，优</w:t>
      </w:r>
      <w:r>
        <w:rPr>
          <w:rFonts w:hint="eastAsia" w:asciiTheme="minorEastAsia" w:hAnsiTheme="minorEastAsia" w:eastAsiaTheme="minorEastAsia" w:cstheme="minorEastAsia"/>
          <w:b/>
          <w:bCs/>
        </w:rPr>
        <w:t>质企业对接</w:t>
      </w:r>
      <w:r>
        <w:rPr>
          <w:rFonts w:asciiTheme="minorEastAsia" w:hAnsiTheme="minorEastAsia" w:eastAsiaTheme="minorEastAsia" w:cstheme="minorEastAsia"/>
          <w:b/>
          <w:bCs/>
        </w:rPr>
        <w:t>智</w:t>
      </w:r>
      <w:r>
        <w:rPr>
          <w:rFonts w:hint="eastAsia" w:asciiTheme="minorEastAsia" w:hAnsiTheme="minorEastAsia" w:eastAsiaTheme="minorEastAsia" w:cstheme="minorEastAsia"/>
          <w:b/>
          <w:bCs/>
        </w:rPr>
        <w:t>库</w:t>
      </w:r>
      <w:r>
        <w:rPr>
          <w:rFonts w:asciiTheme="minorEastAsia" w:hAnsiTheme="minorEastAsia" w:eastAsiaTheme="minorEastAsia" w:cstheme="minorEastAsia"/>
          <w:b/>
          <w:bCs/>
        </w:rPr>
        <w:t>、资本服务</w:t>
      </w:r>
      <w:r>
        <w:rPr>
          <w:rFonts w:hint="eastAsia" w:asciiTheme="minorEastAsia" w:hAnsiTheme="minorEastAsia" w:eastAsiaTheme="minorEastAsia" w:cstheme="minorEastAsia"/>
          <w:b/>
          <w:bCs/>
        </w:rPr>
        <w:t>）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widowControl/>
        <w:ind w:left="-199" w:leftChars="-95"/>
        <w:jc w:val="left"/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99695</wp:posOffset>
            </wp:positionV>
            <wp:extent cx="485775" cy="168275"/>
            <wp:effectExtent l="0" t="0" r="9525" b="9525"/>
            <wp:wrapNone/>
            <wp:docPr id="39" name="图片 39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课程特色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49035" cy="3209925"/>
            <wp:effectExtent l="0" t="0" r="12065" b="3175"/>
            <wp:docPr id="48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rPr>
          <w:rFonts w:hint="eastAsia"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tabs>
          <w:tab w:val="left" w:pos="-200"/>
        </w:tabs>
        <w:spacing w:line="360" w:lineRule="auto"/>
        <w:ind w:left="-15" w:leftChars="-95" w:hanging="184" w:hangingChars="77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94615</wp:posOffset>
            </wp:positionV>
            <wp:extent cx="485775" cy="168275"/>
            <wp:effectExtent l="0" t="0" r="9525" b="9525"/>
            <wp:wrapNone/>
            <wp:docPr id="57" name="图片 57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课程设置</w: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26035</wp:posOffset>
                </wp:positionV>
                <wp:extent cx="460375" cy="328295"/>
                <wp:effectExtent l="0" t="0" r="0" b="0"/>
                <wp:wrapNone/>
                <wp:docPr id="21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0354" cy="3282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88" w:lineRule="auto"/>
                              <w:jc w:val="center"/>
                              <w:rPr>
                                <w:color w:val="548235" w:themeColor="accent6" w:themeShade="BF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6" o:spt="202" type="#_x0000_t202" style="position:absolute;left:0pt;flip:x;margin-left:151pt;margin-top:2.05pt;height:25.85pt;width:36.25pt;z-index:251937792;mso-width-relative:page;mso-height-relative:page;" filled="f" stroked="f" coordsize="21600,21600" o:gfxdata="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Rhj+nYAAAACAEAAA8A&#10;AAAAAAAAAQAgAAAAIgAAAGRycy9kb3ducmV2LnhtbFBLAQIUABQAAAAIAIdO4kA5Zxv4pQEAAD0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88" w:lineRule="auto"/>
                        <w:jc w:val="center"/>
                        <w:rPr>
                          <w:color w:val="548235" w:themeColor="accent6" w:themeShade="BF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pPr w:leftFromText="180" w:rightFromText="180" w:vertAnchor="text" w:horzAnchor="page" w:tblpX="892" w:tblpY="1194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02"/>
        <w:gridCol w:w="3260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7" w:type="dxa"/>
            <w:shd w:val="clear" w:color="auto" w:fill="499F75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一  互联网转型升级路线图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二  互联网＋商业模式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三  互联网＋产品模式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学习互联网时代趋势的发展，了解以其背景带来的优势，助力企业突破发展瓶颈，实现企业价值增长点。通过对实战转型升级成功对案例学习与分析，建立自身公司对转型升级实施框架图，掌握企业转型升级的路径和方法。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通过深度解析当下市场上被广泛认可或有潜力成功的商业案例，以及学员企业中最优秀、典型的商业模式，从而能清晰描述和总结用于自己企业的互联网＋商业模式，并找到互联网模式优化方法与战略布局的方向。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通过授课导师对于近5年全球产业互联网化的领航企业案例分析，了解极致产品与爆品打造的背后逻辑、流程、方法及关键要素；完成自我产品的诊断与市场认知，从而制定有效的基于互联网化的产品升级方案。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2" w:hRule="atLeast"/>
        </w:trPr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主题科目</w:t>
            </w:r>
          </w:p>
        </w:tc>
        <w:tc>
          <w:tcPr>
            <w:tcW w:w="3402" w:type="dxa"/>
            <w:vAlign w:val="center"/>
          </w:tcPr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移动互联网技术发展趋势与社会变革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互联网时代创新思维及商业机会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互联网转型升级第一性原理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消费升级与产业转型的思考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企业升级转型模型（CTU－MODEL）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企业升级转型战略制定的步骤和方法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企业核心能力分析与提炼</w:t>
            </w:r>
          </w:p>
        </w:tc>
        <w:tc>
          <w:tcPr>
            <w:tcW w:w="3260" w:type="dxa"/>
            <w:vAlign w:val="center"/>
          </w:tcPr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产业互联时代经典商业解析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共享经济模式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渠道类商业业模式创新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垂直群体类商业模式创新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产品技术类商业模式创新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数字娱乐类的商业模式创新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电子商务类的商业模式创新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社交类的商业模式创新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生态平台类的商业模式</w:t>
            </w:r>
          </w:p>
          <w:p>
            <w:pPr>
              <w:spacing w:before="93" w:beforeLines="30" w:after="93" w:afterLines="30"/>
              <w:ind w:left="420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921" w:type="dxa"/>
          </w:tcPr>
          <w:p>
            <w:pPr>
              <w:spacing w:line="288" w:lineRule="auto"/>
              <w:ind w:left="-231" w:leftChars="-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产品创新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产品定位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消费升级与爆品打造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何为极致产品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打造爆款产品的秘密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产品的冷启动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洞悉产品中的人性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用户痛点挖掘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品牌定位与品类规划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jc w:val="left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 定位：同质化时代竞争之道</w:t>
            </w:r>
          </w:p>
          <w:p>
            <w:pPr>
              <w:spacing w:line="288" w:lineRule="auto"/>
              <w:ind w:left="220"/>
              <w:jc w:val="left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企业转型升级如何实施／企业如何在新的产业价值链中占据行业高点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闭环商业模式的构建／</w:t>
            </w:r>
          </w:p>
          <w:p>
            <w:pPr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商业模式问诊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消费升级后如何精准把握用户需求／如何让产品保存新鲜感</w:t>
            </w:r>
          </w:p>
        </w:tc>
      </w:tr>
    </w:tbl>
    <w:p>
      <w:pPr>
        <w:tabs>
          <w:tab w:val="left" w:pos="142"/>
        </w:tabs>
        <w:spacing w:line="360" w:lineRule="auto"/>
        <w:rPr>
          <w:rFonts w:hint="eastAsia" w:cs="微软雅黑" w:asciiTheme="minorEastAsia" w:hAnsiTheme="minorEastAsia" w:eastAsiaTheme="minorEastAsia"/>
          <w:sz w:val="24"/>
        </w:rPr>
      </w:pPr>
      <w:r>
        <w:rPr>
          <w:rFonts w:hint="eastAsia" w:cs="微软雅黑" w:asciiTheme="minorEastAsia" w:hAnsiTheme="minorEastAsia" w:eastAsiaTheme="minorEastAsia"/>
          <w:sz w:val="24"/>
        </w:rPr>
        <w:t>通过</w:t>
      </w:r>
      <w:r>
        <w:rPr>
          <w:rFonts w:hint="eastAsia" w:asciiTheme="minorEastAsia" w:hAnsiTheme="minorEastAsia" w:eastAsiaTheme="minorEastAsia" w:cstheme="minorEastAsia"/>
          <w:b/>
          <w:bCs/>
          <w:color w:val="1A857D"/>
          <w:sz w:val="24"/>
        </w:rPr>
        <w:t>拓展思维、传授方法、提供工具</w:t>
      </w:r>
      <w:r>
        <w:rPr>
          <w:rFonts w:hint="eastAsia" w:cs="微软雅黑" w:asciiTheme="minorEastAsia" w:hAnsiTheme="minorEastAsia" w:eastAsiaTheme="minorEastAsia"/>
          <w:sz w:val="24"/>
        </w:rPr>
        <w:t>，重点解决企业发展中的真问题；每个课程模块都将通过</w:t>
      </w:r>
      <w:r>
        <w:rPr>
          <w:rFonts w:hint="eastAsia" w:asciiTheme="minorEastAsia" w:hAnsiTheme="minorEastAsia" w:eastAsiaTheme="minorEastAsia" w:cstheme="minorEastAsia"/>
          <w:b/>
          <w:bCs/>
          <w:color w:val="1A857D"/>
          <w:sz w:val="24"/>
        </w:rPr>
        <w:t>互动学习、深度研讨、私董会</w:t>
      </w:r>
      <w:r>
        <w:rPr>
          <w:rFonts w:hint="eastAsia" w:cs="微软雅黑" w:asciiTheme="minorEastAsia" w:hAnsiTheme="minorEastAsia" w:eastAsiaTheme="minorEastAsia"/>
          <w:sz w:val="24"/>
        </w:rPr>
        <w:t>等手段，由辅导导师制定企业发展问题的解决方案</w:t>
      </w:r>
    </w:p>
    <w:p>
      <w:pPr>
        <w:tabs>
          <w:tab w:val="left" w:pos="142"/>
        </w:tabs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</w:rPr>
      </w:pPr>
    </w:p>
    <w:p>
      <w:pPr>
        <w:tabs>
          <w:tab w:val="left" w:pos="142"/>
        </w:tabs>
        <w:spacing w:line="360" w:lineRule="auto"/>
        <w:ind w:firstLine="480"/>
        <w:rPr>
          <w:rFonts w:cs="微软雅黑" w:asciiTheme="minorEastAsia" w:hAnsiTheme="minorEastAsia" w:eastAsiaTheme="minorEastAsia"/>
          <w:sz w:val="24"/>
        </w:rPr>
        <w:sectPr>
          <w:headerReference r:id="rId3" w:type="default"/>
          <w:footerReference r:id="rId4" w:type="default"/>
          <w:pgSz w:w="11906" w:h="16838"/>
          <w:pgMar w:top="1440" w:right="1286" w:bottom="1440" w:left="118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tabs>
          <w:tab w:val="left" w:pos="0"/>
        </w:tabs>
      </w:pPr>
    </w:p>
    <w:tbl>
      <w:tblPr>
        <w:tblStyle w:val="7"/>
        <w:tblW w:w="10440" w:type="dxa"/>
        <w:tblInd w:w="-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3544"/>
        <w:gridCol w:w="3260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四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互联网＋管理模式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五  互联网＋营销模式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六  互联网＋资本模式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2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学习目的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掌握打造一支适应互联网时代人才和团队特色的强有力方案，并能够制定新型合伙人式的团队激励制度，学会更高效、系统地管理核心团队。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基于对所处产业及产品定位的深度研究，有效应用互联网思维与工具，重新制定企业品牌、营销定位，制定竞争策略，建造新型销售通道。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通过掌握多层次资本市场构成，了解产业发展模式、股权融资、众筹、互联网金融等知识与技巧，学会对自己的企业进行产业资本顶层设计。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5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主题科目</w:t>
            </w:r>
          </w:p>
        </w:tc>
        <w:tc>
          <w:tcPr>
            <w:tcW w:w="3544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互联网企业的组织再造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内部竞争与共生的新型组织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互联网时代核心团队的管理与激励 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互联网时代企业管理机制设计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互联网时代企业扁平式管理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互联网时代人力资源管理构思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重塑企业文化</w:t>
            </w:r>
          </w:p>
        </w:tc>
        <w:tc>
          <w:tcPr>
            <w:tcW w:w="326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互联网时代经典营销案例解析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如何打造超级IP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快速引爆主流的品牌推广策略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社会化营销的黄金法则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内容营销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场景化营销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大数据营销、社群营销</w:t>
            </w:r>
          </w:p>
        </w:tc>
        <w:tc>
          <w:tcPr>
            <w:tcW w:w="2921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认知资本市场，了解资本市场的投融资策略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产业发展模式拆解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资本发展模式设计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互联网金融模式解析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资本沟通的十大陷阱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互联网模式投资案例：“互联网教育、互联网消费”等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核心团队股权激励与人才搭建策略，组织创新，管理的复盘思考／如何系统提升组织能力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学员企业产品诊断／如何让产品保持新鲜感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资本陷阱之案例讨论，深度剖析新资本模式设计</w:t>
            </w:r>
          </w:p>
        </w:tc>
      </w:tr>
    </w:tbl>
    <w:p>
      <w:pPr>
        <w:tabs>
          <w:tab w:val="left" w:pos="142"/>
        </w:tabs>
        <w:spacing w:line="360" w:lineRule="auto"/>
        <w:ind w:firstLine="480"/>
        <w:rPr>
          <w:rFonts w:cs="微软雅黑" w:asciiTheme="minorEastAsia" w:hAnsiTheme="minorEastAsia" w:eastAsiaTheme="minorEastAsia"/>
          <w:sz w:val="24"/>
        </w:rPr>
      </w:pPr>
    </w:p>
    <w:tbl>
      <w:tblPr>
        <w:tblStyle w:val="7"/>
        <w:tblW w:w="10440" w:type="dxa"/>
        <w:tblInd w:w="-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217"/>
        <w:gridCol w:w="3143"/>
        <w:gridCol w:w="3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217" w:type="dxa"/>
            <w:shd w:val="clear" w:color="auto" w:fill="auto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七  社群模式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八  大数据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九  人工智能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8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21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了解社群与社群经济，掌握如何通过社群的方式进行生产关系创新、企业组织社群化、生态链社群化、客户关系社群化，依托产品创新、以用户为中心、以价值观为驱动力，抓住社群经济的红利和未来机会。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了解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大数据时代</w:t>
            </w: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所带来的产业趋势和新经济增长点，掌握企业有效利用大数据的切入点和方向，从而有效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应对技术革命</w:t>
            </w: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，为企业带来新的价值。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 xml:space="preserve">国务院已于2017年7约发布《新一代人工智能发展规划》，提出了面向2030的人工智能发展思路与重点。在智能互联网时代，学习人工智能将如何改变产业形态与竞争格局？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9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科目</w:t>
            </w:r>
          </w:p>
        </w:tc>
        <w:tc>
          <w:tcPr>
            <w:tcW w:w="3217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社群助力传统企业升级转型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六维度解析“互联网+”企业最可行的路径：“社群+”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互联网＋社群方法论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社群经济与社群众筹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社群经济如何实现商业化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社群运营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社群营销法则创新</w:t>
            </w:r>
          </w:p>
        </w:tc>
        <w:tc>
          <w:tcPr>
            <w:tcW w:w="3143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新媒体时代的大数据应用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数据分析利用方法论浅谈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社会化新媒体大数据分析洞察消费者的实践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掘金大数据的机会与误区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大数据技术发展与商业价值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大数据思维改造电商经营决策与业务流程</w:t>
            </w:r>
          </w:p>
        </w:tc>
        <w:tc>
          <w:tcPr>
            <w:tcW w:w="318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人工智能的发展历史、现状和发展趋势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人工智能不同场景的应用分析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如何利用人工智能技术实现制造业转型升级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大数据下的人工智能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人工智能时代的机遇与挑战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21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如何构建“社群+”生态模式顶层设计、企业如何实现社群商业变现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数据挖掘的商业本质，大数据的风险与机遇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传统产业如何拥抱人工智能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217" w:type="dxa"/>
            <w:shd w:val="clear" w:color="auto" w:fill="auto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十  新零售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十一  新金融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十二  新制造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217" w:type="dxa"/>
            <w:vAlign w:val="center"/>
          </w:tcPr>
          <w:p>
            <w:pPr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企业以互联网为依托，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学习如何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通过运用大数据、人工智能等先进技术手段，对商品的生产、流通与销售过程进行升级改造，进而重塑业态结构与生态圈，并对线上服务、线下体验以及现代物流进行深度融合的零售新模式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。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了解以数字技术为驱动力，构建基于信用体系的新金融生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态。传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统金融业务与互联网技术融合，通过优化资源配置与技术创新，产生出新的金融生态、金融服务模式与金融产品。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了解工业互联网和工业4.0带来制造业的范式转变，学习美国工业互联网和德国工业4.0如何通过信息物理系统实现智能制造，通过智能制造实现大规模定制。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科目</w:t>
            </w:r>
          </w:p>
        </w:tc>
        <w:tc>
          <w:tcPr>
            <w:tcW w:w="3217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新零售思维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新零售的三大特征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重塑互联网+时代线上零售业态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新零售模式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洞察移动互联网时代消费者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新零售运营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传统4P与新4P</w:t>
            </w:r>
          </w:p>
        </w:tc>
        <w:tc>
          <w:tcPr>
            <w:tcW w:w="3143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互联网金融发展与趋势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金融技术变革与征信体系建设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P2P、第三方支付与众筹模式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互联网金融管理风险与风控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数字技术重构金融服务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新金融的六个趋势</w:t>
            </w:r>
          </w:p>
        </w:tc>
        <w:tc>
          <w:tcPr>
            <w:tcW w:w="318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工业4.0全景解析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产业创新驱动下的发展机会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中国制造2025及产业政策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工业4.0时代的企业竞争战略规划、决策与管控／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工业4.0与精益生产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新制造与传统制造的区别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智能一体化（生产、设备、能源管理、供应链管理）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217" w:type="dxa"/>
            <w:vAlign w:val="center"/>
          </w:tcPr>
          <w:p>
            <w:pPr>
              <w:spacing w:line="288" w:lineRule="auto"/>
              <w:ind w:left="220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如何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打造与商品属性匹配的零售场景和体验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利用互联网科技技术如何优化、提升金融服务效率和精准度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sz w:val="20"/>
                <w:szCs w:val="20"/>
              </w:rPr>
              <w:t>智能制造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 xml:space="preserve">产业格局重构的情况下，如何建立领先的盈利模式 </w:t>
            </w:r>
          </w:p>
        </w:tc>
      </w:tr>
    </w:tbl>
    <w:p>
      <w:pPr>
        <w:spacing w:line="360" w:lineRule="auto"/>
        <w:ind w:left="-199" w:leftChars="-95"/>
        <w:rPr>
          <w:rFonts w:cs="微软雅黑" w:asciiTheme="minorEastAsia" w:hAnsiTheme="minorEastAsia" w:eastAsiaTheme="minorEastAsia"/>
          <w:sz w:val="24"/>
        </w:rPr>
      </w:pP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93345</wp:posOffset>
            </wp:positionV>
            <wp:extent cx="485775" cy="168275"/>
            <wp:effectExtent l="0" t="0" r="9525" b="9525"/>
            <wp:wrapNone/>
            <wp:docPr id="22" name="图片 22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 xml:space="preserve">   师资力量</w:t>
      </w: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（排名不分先后）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王喜文   中国工信部国际技术合作中心智能制造研究所所长、工学博士、博士后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杨学成   北京邮电大学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lang w:eastAsia="zh-CN"/>
        </w:rPr>
        <w:t>网络教育学院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副院长、中国人工智能学会理事、华为公司顾问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刘德寰   北京大学新闻与传播学院传播学系教授、全国市场研究协会会长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江南春   分众传媒董事局主席、首席执行官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高茂源   CODEX创新体系创始人、CODEX国际创新研究院院长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李大学 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磁云科技CEO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互联网+实战团发起人、京东终身荣誉技术顾问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杨  勇   1898咖啡馆众筹模式创始人、中国式众筹布道者与领军人物 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崔翰文  《阿里商业评论》创始主编、阿里巴巴创新研究总负责人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asciiTheme="minorEastAsia" w:hAnsiTheme="minorEastAsia" w:eastAsiaTheme="minorEastAsia" w:cstheme="minorEastAsia"/>
          <w:color w:val="000000"/>
          <w:sz w:val="24"/>
        </w:rPr>
        <w:t>赵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 xml:space="preserve">胜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硅谷创客资本创始人，以色列洼地科技创始人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陈  瑜   淘宝大学副校长、淘宝大学网商MBA资深讲师</w:t>
      </w:r>
    </w:p>
    <w:p>
      <w:pPr>
        <w:spacing w:line="360" w:lineRule="auto"/>
        <w:ind w:left="17" w:leftChars="8" w:firstLine="201" w:firstLineChars="84"/>
        <w:rPr>
          <w:rFonts w:hint="eastAsia"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马成功   乐视培训发展总经理、原京东大学校长</w:t>
      </w:r>
    </w:p>
    <w:p>
      <w:pPr>
        <w:spacing w:line="360" w:lineRule="auto"/>
        <w:ind w:left="10" w:leftChars="0" w:firstLine="210" w:firstLineChars="0"/>
        <w:rPr>
          <w:rFonts w:hint="eastAsia" w:asciiTheme="minorEastAsia" w:hAnsiTheme="minorEastAsia" w:eastAsiaTheme="minorEastAsia" w:cstheme="minorEastAsia"/>
          <w:color w:val="000000"/>
          <w:sz w:val="24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lang w:eastAsia="zh-CN"/>
        </w:rPr>
        <w:t>龙平敬</w:t>
      </w:r>
      <w:r>
        <w:rPr>
          <w:rFonts w:hint="eastAsia" w:asciiTheme="minorEastAsia" w:hAnsiTheme="minorEastAsia" w:cstheme="minorEastAsia"/>
          <w:color w:val="000000"/>
          <w:sz w:val="24"/>
          <w:lang w:val="en-US" w:eastAsia="zh-CN"/>
        </w:rPr>
        <w:t xml:space="preserve">   财富中国董事总经理、商界项目孵化中心首席顾问 </w:t>
      </w:r>
    </w:p>
    <w:p>
      <w:pPr>
        <w:spacing w:line="360" w:lineRule="auto"/>
        <w:ind w:left="10" w:leftChars="0" w:firstLine="210" w:firstLineChars="0"/>
        <w:rPr>
          <w:rFonts w:hint="eastAsia" w:asciiTheme="minorEastAsia" w:hAnsiTheme="minorEastAsia" w:cs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lang w:eastAsia="zh-CN"/>
        </w:rPr>
        <w:t>沈</w:t>
      </w:r>
      <w:r>
        <w:rPr>
          <w:rFonts w:hint="eastAsia" w:asciiTheme="minorEastAsia" w:hAnsiTheme="minorEastAsia" w:cstheme="minorEastAsia"/>
          <w:color w:val="000000"/>
          <w:sz w:val="24"/>
          <w:lang w:val="en-US" w:eastAsia="zh-CN"/>
        </w:rPr>
        <w:t xml:space="preserve">  拓   互联网+研究院创始人，清华 X-­‐lab 未来生活创新中心创始人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杨石头  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instrText xml:space="preserve"> HYPERLINK "http://baike.baidu.com/view/2275171.htm" \t "http://baike.baidu.com/_blank" </w:instrTex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智立方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品牌营销传播集群的董事长兼CEO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顾嘉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lang w:eastAsia="zh-CN"/>
        </w:rPr>
        <w:t>唯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物灵科技联合创始人/CEO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曾任百度人工智能研究院人机交互负责人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唐  彬   易宝支付联合创始人兼CEO、互联网金融前任会轮值主席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戴赛鹰   三个爸爸联合创始人兼CEO、著名品牌营销策划人 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宗  毅   芬尼克兹创始人兼总裁、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“互联网大篷车”行动联合发起人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曹日辉   中国投资中心合伙人，易一天使投资有限公司总经理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徐  进   凤凰网高级副总裁，“中国原生营销研究院”院长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路  骋   天使投资人、历任京东集团副总裁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朱一超   北京大学物理学博士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,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现任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 xml:space="preserve"> eBay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大中华区市场及运营总经理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卢  彦   国务院发展研究中心信息专栏作家、社群＋生态模式顶层设计专家</w:t>
      </w:r>
    </w:p>
    <w:p>
      <w:pPr>
        <w:spacing w:line="360" w:lineRule="auto"/>
        <w:ind w:left="210" w:leftChars="100"/>
        <w:rPr>
          <w:rFonts w:hint="eastAsia"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丁  丁   北京联思达整合营销机构创始人、粉丝工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lang w:eastAsia="zh-CN"/>
        </w:rPr>
        <w:t>场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创始人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唐兴通   携手互动CEO、资深互联网咨询顾问、社群营销专家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钱栋玉   上市公司金轮股份执行总裁、工信部千人领军计划企业家导</w:t>
      </w:r>
    </w:p>
    <w:p>
      <w:pPr>
        <w:spacing w:line="360" w:lineRule="auto"/>
        <w:ind w:firstLine="240" w:firstLineChars="1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271424512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114300</wp:posOffset>
            </wp:positionV>
            <wp:extent cx="485775" cy="198120"/>
            <wp:effectExtent l="0" t="0" r="9525" b="5080"/>
            <wp:wrapNone/>
            <wp:docPr id="43" name="图片 43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精彩瞬间</w:t>
      </w:r>
    </w:p>
    <w:p>
      <w:pPr>
        <w:widowControl/>
        <w:jc w:val="left"/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197600" cy="1774190"/>
            <wp:effectExtent l="0" t="0" r="0" b="3810"/>
            <wp:docPr id="1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80785" cy="4233545"/>
            <wp:effectExtent l="0" t="0" r="5715" b="8255"/>
            <wp:docPr id="10" name="图片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361430" cy="1889760"/>
            <wp:effectExtent l="0" t="0" r="1270" b="2540"/>
            <wp:docPr id="3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29119180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100330</wp:posOffset>
            </wp:positionV>
            <wp:extent cx="485775" cy="198120"/>
            <wp:effectExtent l="0" t="0" r="9525" b="5080"/>
            <wp:wrapNone/>
            <wp:docPr id="55" name="图片 5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学员感言</w:t>
      </w:r>
    </w:p>
    <w:p>
      <w:pPr>
        <w:pStyle w:val="5"/>
        <w:spacing w:line="256" w:lineRule="exact"/>
        <w:jc w:val="both"/>
        <w:rPr>
          <w:rFonts w:ascii="楷体" w:hAnsi="楷体" w:eastAsia="楷体" w:cs="楷体"/>
          <w:bCs/>
          <w:color w:val="385723" w:themeColor="accent6" w:themeShade="80"/>
          <w:sz w:val="28"/>
          <w:szCs w:val="28"/>
        </w:rPr>
      </w:pPr>
      <w:r>
        <w:rPr>
          <w:rFonts w:hint="eastAsia" w:ascii="楷体" w:hAnsi="楷体" w:eastAsia="楷体" w:cs="楷体"/>
          <w:bCs/>
          <w:color w:val="0070C0"/>
          <w:sz w:val="28"/>
          <w:szCs w:val="28"/>
        </w:rPr>
        <w:t xml:space="preserve">A   互联网班是我多年来感受到的学习氛围最好的一个班。无论班主任、教务老师都是几尽全力的为同学们准备最好的课程，安排最适合的食宿，并且组织各种有意义的活动，让同学们开心快乐的学习生活在一起，就像一个大家庭，那种温暖和爱在每一个同学心中流动。 </w:t>
      </w:r>
      <w:r>
        <w:rPr>
          <w:rFonts w:hint="eastAsia" w:ascii="楷体" w:hAnsi="楷体" w:eastAsia="楷体" w:cs="楷体"/>
          <w:bCs/>
          <w:sz w:val="28"/>
          <w:szCs w:val="28"/>
        </w:rPr>
        <w:t>----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>河北天昱恒科技有限公司 马志兴 董事长</w:t>
      </w:r>
    </w:p>
    <w:p>
      <w:pPr>
        <w:pStyle w:val="5"/>
        <w:spacing w:before="156" w:beforeLines="50" w:beforeAutospacing="0" w:line="256" w:lineRule="exact"/>
        <w:jc w:val="both"/>
        <w:rPr>
          <w:rFonts w:ascii="楷体" w:hAnsi="楷体" w:eastAsia="楷体" w:cs="楷体"/>
          <w:bCs/>
          <w:color w:val="385723" w:themeColor="accent6" w:themeShade="8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B   通过互联网EMBA总裁班的学习，我认识到今天的企业如何裂变、变道及社群经济的重要性。我们将社群理论应用到产品开发、销售以及客户维护上，形成一个社群，这样我们可以先确定客户的认知，改进研创产品，当产品形成再进行裂变。              </w:t>
      </w:r>
      <w:r>
        <w:rPr>
          <w:rFonts w:hint="eastAsia" w:ascii="楷体" w:hAnsi="楷体" w:eastAsia="楷体" w:cs="楷体"/>
          <w:bCs/>
          <w:sz w:val="28"/>
          <w:szCs w:val="28"/>
        </w:rPr>
        <w:t xml:space="preserve">---- 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>北京昆仑中大传感器技术有限公司  高正平  董事长</w:t>
      </w:r>
    </w:p>
    <w:p>
      <w:pPr>
        <w:spacing w:line="256" w:lineRule="exact"/>
        <w:ind w:right="-733" w:rightChars="-349"/>
        <w:rPr>
          <w:rFonts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C   </w:t>
      </w:r>
      <w:r>
        <w:rPr>
          <w:rFonts w:hint="eastAsia"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  <w:t>北清互联网EMBA总裁班不光管起飞，还管降落，落地实战班，边学习边实战，</w:t>
      </w:r>
    </w:p>
    <w:p>
      <w:pPr>
        <w:spacing w:line="256" w:lineRule="exact"/>
        <w:ind w:right="-733" w:rightChars="-349"/>
        <w:rPr>
          <w:rFonts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  <w:t>更好的掌握所学，是真实为同学提升价值的项目。</w:t>
      </w:r>
    </w:p>
    <w:p>
      <w:pPr>
        <w:pStyle w:val="5"/>
        <w:wordWrap w:val="0"/>
        <w:spacing w:before="156" w:beforeLines="50" w:beforeAutospacing="0" w:line="256" w:lineRule="exact"/>
        <w:jc w:val="right"/>
        <w:rPr>
          <w:rFonts w:ascii="楷体" w:hAnsi="楷体" w:eastAsia="楷体" w:cs="楷体"/>
          <w:bCs/>
          <w:color w:val="2E75B6" w:themeColor="accent1" w:themeShade="BF"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t>---- 夏韩医疗美容技术（北京）有限公司 王铁钢 总经理</w:t>
      </w:r>
    </w:p>
    <w:p>
      <w:pPr>
        <w:pStyle w:val="5"/>
        <w:wordWrap w:val="0"/>
        <w:spacing w:before="156" w:beforeLines="50" w:beforeAutospacing="0" w:line="256" w:lineRule="exact"/>
        <w:jc w:val="right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D   北清智库商学院给我们提供了这个与北大、京东、阿里等世界一流互联网智库专家学习交流机会，我通过一年的学习，我们已经从一个传统的电气工程公司变成是销售、技术、管理全面互联网化的企业。                                                               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 xml:space="preserve">----中易物联  雷钰云  董事长 </w:t>
      </w:r>
      <w:r>
        <w:rPr>
          <w:rFonts w:hint="eastAsia" w:ascii="楷体" w:hAnsi="楷体" w:eastAsia="楷体" w:cs="楷体"/>
          <w:bCs/>
          <w:color w:val="385723" w:themeColor="accent6" w:themeShade="80"/>
          <w:sz w:val="21"/>
          <w:szCs w:val="21"/>
        </w:rPr>
        <w:t xml:space="preserve">  </w:t>
      </w: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0672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96520</wp:posOffset>
            </wp:positionV>
            <wp:extent cx="485775" cy="198120"/>
            <wp:effectExtent l="0" t="0" r="9525" b="5080"/>
            <wp:wrapNone/>
            <wp:docPr id="56" name="图片 56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学习安排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01.上课地点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</w:rPr>
        <w:t xml:space="preserve">北京大学  </w:t>
      </w:r>
    </w:p>
    <w:p>
      <w:pPr>
        <w:spacing w:line="288" w:lineRule="auto"/>
        <w:jc w:val="left"/>
        <w:rPr>
          <w:color w:val="01A5A5"/>
          <w:sz w:val="28"/>
          <w:szCs w:val="28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02.学习时间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</w:rPr>
        <w:t>学制一年，9次课，每次每月集中学习2天</w:t>
      </w:r>
    </w:p>
    <w:p>
      <w:pPr>
        <w:spacing w:line="360" w:lineRule="auto"/>
        <w:rPr>
          <w:rFonts w:hint="eastAsia" w:ascii="Arial" w:eastAsia="微软雅黑" w:hAnsiTheme="minorBidi"/>
          <w:kern w:val="24"/>
          <w:sz w:val="24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03.课程费用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  <w:lang w:val="en-US" w:eastAsia="zh-CN"/>
        </w:rPr>
        <w:t>68000</w:t>
      </w:r>
      <w:r>
        <w:rPr>
          <w:rFonts w:hint="eastAsia" w:ascii="Arial" w:eastAsia="微软雅黑" w:hAnsiTheme="minorBidi"/>
          <w:kern w:val="24"/>
          <w:sz w:val="24"/>
        </w:rPr>
        <w:t>元（含教学、教材资料，不含学习及游学产生的食宿交通游览费用）</w:t>
      </w: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1696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96520</wp:posOffset>
            </wp:positionV>
            <wp:extent cx="485775" cy="198120"/>
            <wp:effectExtent l="0" t="0" r="9525" b="5080"/>
            <wp:wrapNone/>
            <wp:docPr id="2" name="图片 2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学习对象</w:t>
      </w:r>
    </w:p>
    <w:p>
      <w:pPr>
        <w:spacing w:line="360" w:lineRule="auto"/>
        <w:rPr>
          <w:rFonts w:ascii="Arial" w:eastAsia="微软雅黑" w:hAnsiTheme="minorBidi"/>
          <w:kern w:val="24"/>
          <w:sz w:val="24"/>
        </w:rPr>
      </w:pPr>
      <w:r>
        <w:rPr>
          <w:rFonts w:hint="eastAsia" w:ascii="Arial" w:eastAsia="微软雅黑" w:hAnsiTheme="minorBidi"/>
          <w:kern w:val="24"/>
          <w:sz w:val="24"/>
        </w:rPr>
        <w:t>各行各业董事长、CEO、总裁、总经理、股东、产品经理、新媒体传播人、现代相关服务业机构负责人、科技园区、投融资机构高管、政府官员等致力于向移动互联网拓展和转型高端人士。</w:t>
      </w:r>
    </w:p>
    <w:p>
      <w:pPr>
        <w:spacing w:line="360" w:lineRule="auto"/>
        <w:rPr>
          <w:rFonts w:cs="微软雅黑" w:asciiTheme="minorEastAsia" w:hAnsiTheme="minorEastAsia" w:eastAsiaTheme="minorEastAsia"/>
          <w:color w:val="000000"/>
          <w:sz w:val="24"/>
        </w:rPr>
      </w:pP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272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97790</wp:posOffset>
            </wp:positionV>
            <wp:extent cx="485775" cy="198120"/>
            <wp:effectExtent l="0" t="0" r="9525" b="5080"/>
            <wp:wrapNone/>
            <wp:docPr id="8" name="图片 8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招    生</w:t>
      </w: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330783744" behindDoc="0" locked="0" layoutInCell="1" allowOverlap="1">
            <wp:simplePos x="0" y="0"/>
            <wp:positionH relativeFrom="column">
              <wp:posOffset>-7182485</wp:posOffset>
            </wp:positionH>
            <wp:positionV relativeFrom="paragraph">
              <wp:posOffset>382905</wp:posOffset>
            </wp:positionV>
            <wp:extent cx="485775" cy="168275"/>
            <wp:effectExtent l="0" t="0" r="9525" b="9525"/>
            <wp:wrapNone/>
            <wp:docPr id="20" name="图片 20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简章图-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330784768" behindDoc="0" locked="0" layoutInCell="1" allowOverlap="1">
                <wp:simplePos x="0" y="0"/>
                <wp:positionH relativeFrom="column">
                  <wp:posOffset>-6664960</wp:posOffset>
                </wp:positionH>
                <wp:positionV relativeFrom="paragraph">
                  <wp:posOffset>244475</wp:posOffset>
                </wp:positionV>
                <wp:extent cx="1050925" cy="473710"/>
                <wp:effectExtent l="0" t="0" r="3175" b="8890"/>
                <wp:wrapNone/>
                <wp:docPr id="8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473710"/>
                        </a:xfrm>
                        <a:prstGeom prst="rect">
                          <a:avLst/>
                        </a:prstGeom>
                        <a:solidFill>
                          <a:srgbClr val="01A5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20" w:firstLineChars="100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 生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-524.8pt;margin-top:19.25pt;height:37.3pt;width:82.75pt;z-index:330784768;mso-width-relative:page;mso-height-relative:page;" fillcolor="#01A5A5" filled="t" stroked="f" coordsize="21600,21600" o:gfxdata="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U1EXd3gAAAA0BAAAPAAAAAAAAAAEAIAAAACIAAABkcnMvZG93bnJldi54bWxQ&#10;SwECFAAUAAAACACHTuJAHqSdvrgBAABcAwAADgAAAAAAAAABACAAAAAt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320" w:firstLineChars="100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 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ind w:firstLine="280" w:firstLineChars="100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t>联 系 人：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>13439064501 陈老师</w:t>
      </w:r>
    </w:p>
    <w:p>
      <w:pPr>
        <w:spacing w:line="480" w:lineRule="auto"/>
        <w:ind w:firstLine="280" w:firstLineChars="100"/>
        <w:rPr>
          <w:rFonts w:hint="default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8"/>
          <w:szCs w:val="28"/>
        </w:rPr>
      </w:pPr>
    </w:p>
    <w:p>
      <w:pPr>
        <w:snapToGrid w:val="0"/>
        <w:spacing w:before="156" w:beforeLines="50" w:after="156" w:afterLines="50"/>
        <w:ind w:left="307" w:right="-340" w:rightChars="-162" w:hanging="307" w:hangingChars="96"/>
        <w:jc w:val="left"/>
        <w:rPr>
          <w:rFonts w:hint="eastAsia" w:ascii="微软雅黑" w:hAnsi="微软雅黑" w:eastAsia="微软雅黑" w:cs="微软雅黑"/>
          <w:color w:val="000000"/>
          <w:sz w:val="28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sz w:val="28"/>
          <w:szCs w:val="32"/>
        </w:rPr>
        <w:t xml:space="preserve">     </w:t>
      </w:r>
    </w:p>
    <w:p>
      <w:pPr>
        <w:snapToGrid w:val="0"/>
        <w:spacing w:before="156" w:beforeLines="50" w:after="156" w:afterLines="50"/>
        <w:ind w:left="307" w:right="-340" w:rightChars="-162" w:hanging="519" w:hangingChars="96"/>
        <w:jc w:val="left"/>
        <w:rPr>
          <w:rFonts w:hint="eastAsia" w:ascii="微软雅黑" w:hAnsi="微软雅黑" w:eastAsia="微软雅黑" w:cs="微软雅黑"/>
          <w:color w:val="000000"/>
          <w:sz w:val="28"/>
          <w:szCs w:val="32"/>
        </w:rPr>
      </w:pPr>
      <w:r>
        <w:rPr>
          <w:rFonts w:ascii="微软雅黑" w:hAnsi="微软雅黑" w:eastAsia="微软雅黑"/>
          <w:b/>
          <w:color w:val="227C75"/>
          <w:spacing w:val="30"/>
          <w:sz w:val="48"/>
          <w:szCs w:val="48"/>
        </w:rPr>
        <w:drawing>
          <wp:anchor distT="0" distB="0" distL="114300" distR="114300" simplePos="0" relativeHeight="330785792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24765</wp:posOffset>
            </wp:positionV>
            <wp:extent cx="3285490" cy="700405"/>
            <wp:effectExtent l="0" t="0" r="0" b="0"/>
            <wp:wrapTight wrapText="bothSides">
              <wp:wrapPolygon>
                <wp:start x="835" y="3133"/>
                <wp:lineTo x="1169" y="9400"/>
                <wp:lineTo x="1085" y="12141"/>
                <wp:lineTo x="1169" y="15666"/>
                <wp:lineTo x="835" y="15666"/>
                <wp:lineTo x="501" y="16450"/>
                <wp:lineTo x="501" y="18408"/>
                <wp:lineTo x="1920" y="18408"/>
                <wp:lineTo x="21124" y="16450"/>
                <wp:lineTo x="20957" y="3133"/>
                <wp:lineTo x="835" y="3133"/>
              </wp:wrapPolygon>
            </wp:wrapTight>
            <wp:docPr id="4" name="图片 4" descr="组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组合log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before="156" w:beforeLines="50" w:after="156" w:afterLines="50" w:line="240" w:lineRule="auto"/>
        <w:ind w:left="403" w:leftChars="0" w:right="-340" w:rightChars="-162" w:hanging="403" w:hangingChars="96"/>
        <w:jc w:val="left"/>
        <w:rPr>
          <w:rFonts w:ascii="微软雅黑" w:hAnsi="微软雅黑" w:eastAsia="微软雅黑"/>
          <w:b/>
          <w:color w:val="227C75"/>
          <w:spacing w:val="30"/>
          <w:sz w:val="48"/>
          <w:szCs w:val="48"/>
        </w:rPr>
      </w:pPr>
      <w:r>
        <w:rPr>
          <w:rFonts w:hint="eastAsia" w:ascii="微软雅黑" w:hAnsi="微软雅黑" w:eastAsia="微软雅黑"/>
          <w:b/>
          <w:color w:val="548235" w:themeColor="accent6" w:themeShade="BF"/>
          <w:spacing w:val="30"/>
          <w:sz w:val="36"/>
          <w:szCs w:val="36"/>
          <w:lang w:val="en-US" w:eastAsia="zh-CN"/>
        </w:rPr>
        <w:t xml:space="preserve">  </w:t>
      </w:r>
      <w:bookmarkStart w:id="0" w:name="_GoBack"/>
      <w:bookmarkEnd w:id="0"/>
    </w:p>
    <w:tbl>
      <w:tblPr>
        <w:tblStyle w:val="6"/>
        <w:tblpPr w:leftFromText="180" w:rightFromText="180" w:vertAnchor="page" w:horzAnchor="margin" w:tblpXSpec="center" w:tblpY="2568"/>
        <w:tblW w:w="9575" w:type="dxa"/>
        <w:jc w:val="center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126"/>
        <w:gridCol w:w="1452"/>
        <w:gridCol w:w="992"/>
        <w:gridCol w:w="284"/>
        <w:gridCol w:w="249"/>
        <w:gridCol w:w="567"/>
        <w:gridCol w:w="318"/>
        <w:gridCol w:w="568"/>
        <w:gridCol w:w="163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9575" w:type="dxa"/>
            <w:gridSpan w:val="10"/>
            <w:tcBorders>
              <w:top w:val="nil"/>
              <w:left w:val="nil"/>
              <w:bottom w:val="double" w:color="auto" w:sz="4" w:space="0"/>
              <w:right w:val="nil"/>
            </w:tcBorders>
            <w:vAlign w:val="center"/>
          </w:tcPr>
          <w:p>
            <w:pPr>
              <w:widowControl/>
              <w:ind w:left="-34" w:leftChars="-16" w:firstLine="19" w:firstLineChars="8"/>
              <w:jc w:val="left"/>
              <w:rPr>
                <w:b/>
                <w:color w:val="548235" w:themeColor="accent6" w:themeShade="BF"/>
              </w:rPr>
            </w:pPr>
            <w:r>
              <w:rPr>
                <w:rFonts w:hint="eastAsia" w:ascii="黑体" w:hAnsi="黑体" w:eastAsia="黑体"/>
                <w:b/>
                <w:color w:val="227C75"/>
                <w:sz w:val="24"/>
              </w:rPr>
              <w:t>个人信息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 名</w:t>
            </w:r>
          </w:p>
        </w:tc>
        <w:tc>
          <w:tcPr>
            <w:tcW w:w="2126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    别</w:t>
            </w:r>
            <w:r>
              <w:rPr>
                <w:rFonts w:hint="eastAsia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民    族</w:t>
            </w:r>
          </w:p>
        </w:tc>
        <w:tc>
          <w:tcPr>
            <w:tcW w:w="886" w:type="dxa"/>
            <w:gridSpan w:val="2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restart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一寸照片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身份证号</w:t>
            </w:r>
          </w:p>
        </w:tc>
        <w:tc>
          <w:tcPr>
            <w:tcW w:w="2126" w:type="dxa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rPr>
                <w:b/>
              </w:rPr>
            </w:pPr>
          </w:p>
        </w:tc>
        <w:tc>
          <w:tcPr>
            <w:tcW w:w="1452" w:type="dxa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出生年月</w:t>
            </w:r>
          </w:p>
        </w:tc>
        <w:tc>
          <w:tcPr>
            <w:tcW w:w="992" w:type="dxa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政治面貌</w:t>
            </w:r>
          </w:p>
        </w:tc>
        <w:tc>
          <w:tcPr>
            <w:tcW w:w="886" w:type="dxa"/>
            <w:gridSpan w:val="2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手机号码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籍    贯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常驻城市</w:t>
            </w:r>
          </w:p>
        </w:tc>
        <w:tc>
          <w:tcPr>
            <w:tcW w:w="886" w:type="dxa"/>
            <w:gridSpan w:val="2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助理联系人及电话</w:t>
            </w:r>
          </w:p>
        </w:tc>
        <w:tc>
          <w:tcPr>
            <w:tcW w:w="2978" w:type="dxa"/>
            <w:gridSpan w:val="6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384" w:type="dxa"/>
            <w:vMerge w:val="restart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最高学历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</w:rPr>
              <w:t>院校名称</w:t>
            </w:r>
          </w:p>
        </w:tc>
        <w:tc>
          <w:tcPr>
            <w:tcW w:w="297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　</w:t>
            </w:r>
          </w:p>
        </w:tc>
        <w:tc>
          <w:tcPr>
            <w:tcW w:w="3088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学历层次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384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3088" w:type="dxa"/>
            <w:gridSpan w:val="4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3" w:hRule="atLeast"/>
          <w:jc w:val="center"/>
        </w:trPr>
        <w:tc>
          <w:tcPr>
            <w:tcW w:w="1384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事业成就</w:t>
            </w:r>
          </w:p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与履历</w:t>
            </w:r>
          </w:p>
        </w:tc>
        <w:tc>
          <w:tcPr>
            <w:tcW w:w="8191" w:type="dxa"/>
            <w:gridSpan w:val="9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1384" w:type="dxa"/>
            <w:tcBorders>
              <w:top w:val="single" w:color="auto" w:sz="6" w:space="0"/>
              <w:bottom w:val="doub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高级研修</w:t>
            </w:r>
          </w:p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经历</w:t>
            </w:r>
          </w:p>
        </w:tc>
        <w:tc>
          <w:tcPr>
            <w:tcW w:w="8191" w:type="dxa"/>
            <w:gridSpan w:val="9"/>
            <w:tcBorders>
              <w:top w:val="single" w:color="auto" w:sz="6" w:space="0"/>
              <w:bottom w:val="doub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rPr>
                <w:b/>
                <w:u w:val="single"/>
              </w:rPr>
            </w:pPr>
            <w:r>
              <w:rPr>
                <w:b/>
              </w:rPr>
              <w:object>
                <v:shape id="_x0000_i1025" o:spt="201" alt="" type="#_x0000_t201" style="height:18pt;width:42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w:control r:id="rId14" w:name="CheckBox1" w:shapeid="_x0000_i1025"/>
              </w:object>
            </w:r>
            <w:r>
              <w:rPr>
                <w:b/>
              </w:rPr>
              <w:object>
                <v:shape id="_x0000_i1026" o:spt="201" alt="" type="#_x0000_t201" style="height:18pt;width:41.25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w:control r:id="rId16" w:name="CheckBox2" w:shapeid="_x0000_i1026"/>
              </w:objec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object>
                <v:shape id="_x0000_i1027" o:spt="201" alt="" type="#_x0000_t201" style="height:18pt;width:40.5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w:control r:id="rId18" w:name="CheckBox4" w:shapeid="_x0000_i1027"/>
              </w:objec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object>
                <v:shape id="_x0000_i1028" o:spt="201" alt="" type="#_x0000_t201" style="height:18pt;width:42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w:control r:id="rId20" w:name="CheckBox5" w:shapeid="_x0000_i1028"/>
              </w:object>
            </w:r>
            <w:r>
              <w:rPr>
                <w:b/>
              </w:rPr>
              <w:t xml:space="preserve"> </w:t>
            </w:r>
            <w:r>
              <w:rPr>
                <w:b/>
              </w:rPr>
              <w:object>
                <v:shape id="_x0000_i1029" o:spt="201" alt="" type="#_x0000_t201" style="height:18pt;width:39.75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w:control r:id="rId22" w:name="CheckBox3" w:shapeid="_x0000_i1029"/>
              </w:object>
            </w:r>
            <w:r>
              <w:rPr>
                <w:rFonts w:hint="eastAsia"/>
                <w:b/>
                <w:u w:val="single"/>
              </w:rPr>
              <w:t xml:space="preserve">       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object>
                <v:shape id="_x0000_i1030" o:spt="201" alt="" type="#_x0000_t201" style="height:18pt;width:108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w:control r:id="rId24" w:name="CheckBox27" w:shapeid="_x0000_i1030"/>
              </w:obje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575" w:type="dxa"/>
            <w:gridSpan w:val="10"/>
            <w:tcBorders>
              <w:top w:val="double" w:color="auto" w:sz="4" w:space="0"/>
              <w:left w:val="nil"/>
              <w:bottom w:val="double" w:color="auto" w:sz="4" w:space="0"/>
              <w:right w:val="nil"/>
            </w:tcBorders>
            <w:vAlign w:val="center"/>
          </w:tcPr>
          <w:p>
            <w:pPr>
              <w:widowControl/>
              <w:ind w:left="-34" w:leftChars="-16" w:firstLine="19" w:firstLineChars="8"/>
              <w:jc w:val="left"/>
              <w:rPr>
                <w:rFonts w:ascii="黑体" w:hAnsi="黑体" w:eastAsia="黑体"/>
                <w:b/>
              </w:rPr>
            </w:pPr>
            <w:r>
              <w:rPr>
                <w:rFonts w:hint="eastAsia" w:ascii="黑体" w:hAnsi="黑体" w:eastAsia="黑体"/>
                <w:b/>
                <w:color w:val="227C75"/>
                <w:sz w:val="24"/>
              </w:rPr>
              <w:t>企业信息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企业名称</w:t>
            </w:r>
          </w:p>
        </w:tc>
        <w:tc>
          <w:tcPr>
            <w:tcW w:w="4854" w:type="dxa"/>
            <w:gridSpan w:val="4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</w:t>
            </w:r>
          </w:p>
        </w:tc>
        <w:tc>
          <w:tcPr>
            <w:tcW w:w="1134" w:type="dxa"/>
            <w:gridSpan w:val="3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职   务</w:t>
            </w:r>
          </w:p>
        </w:tc>
        <w:tc>
          <w:tcPr>
            <w:tcW w:w="2203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jc w:val="left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主营业务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公司性质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object>
                <v:shape id="_x0000_i1031" o:spt="201" alt="" type="#_x0000_t201" style="height:18pt;width:94.5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w:control r:id="rId26" w:name="CheckBox6" w:shapeid="_x0000_i1031"/>
              </w:object>
            </w:r>
            <w:r>
              <w:rPr>
                <w:rFonts w:ascii="宋体" w:hAnsi="宋体"/>
                <w:b/>
              </w:rPr>
              <w:object>
                <v:shape id="_x0000_i1032" o:spt="201" alt="" type="#_x0000_t201" style="height:18pt;width:45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w:control r:id="rId28" w:name="CheckBox7" w:shapeid="_x0000_i1032"/>
              </w:object>
            </w:r>
            <w:r>
              <w:rPr>
                <w:rFonts w:ascii="宋体" w:hAnsi="宋体"/>
                <w:b/>
              </w:rPr>
              <w:object>
                <v:shape id="_x0000_i1033" o:spt="201" alt="" type="#_x0000_t201" style="height:18pt;width:78.75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w:control r:id="rId30" w:name="CheckBox8" w:shapeid="_x0000_i1033"/>
              </w:object>
            </w:r>
            <w:r>
              <w:rPr>
                <w:rFonts w:ascii="宋体" w:hAnsi="宋体"/>
                <w:b/>
              </w:rPr>
              <w:object>
                <v:shape id="_x0000_i1034" o:spt="201" alt="" type="#_x0000_t201" style="height:18pt;width:42pt;" o:ole="t" filled="f" o:preferrelative="t" stroked="f" coordsize="21600,21600">
                  <v:path/>
                  <v:fill on="f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w:control r:id="rId32" w:name="CheckBox9" w:shapeid="_x0000_i1034"/>
              </w:object>
            </w:r>
            <w:r>
              <w:rPr>
                <w:rFonts w:ascii="宋体" w:hAnsi="宋体"/>
                <w:b/>
              </w:rPr>
              <w:object>
                <v:shape id="_x0000_i1035" o:spt="201" alt="" type="#_x0000_t201" style="height:18pt;width:47.25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w:control r:id="rId34" w:name="CheckBox10" w:shapeid="_x0000_i1035"/>
              </w:object>
            </w:r>
            <w:r>
              <w:rPr>
                <w:rFonts w:ascii="宋体" w:hAnsi="宋体"/>
                <w:b/>
              </w:rPr>
              <w:object>
                <v:shape id="_x0000_i1036" o:spt="201" alt="" type="#_x0000_t201" style="height:18pt;width:89.25pt;" o:ole="t" filled="f" o:preferrelative="t" stroked="f" coordsize="21600,21600">
                  <v:path/>
                  <v:fill on="f" focussize="0,0"/>
                  <v:stroke on="f"/>
                  <v:imagedata r:id="rId37" o:title=""/>
                  <o:lock v:ext="edit" aspectratio="t"/>
                  <w10:wrap type="none"/>
                  <w10:anchorlock/>
                </v:shape>
                <w:control r:id="rId36" w:name="CheckBox11" w:shapeid="_x0000_i1036"/>
              </w:object>
            </w:r>
            <w:r>
              <w:rPr>
                <w:rFonts w:ascii="宋体" w:hAnsi="宋体"/>
                <w:b/>
              </w:rPr>
              <w:object>
                <v:shape id="_x0000_i1037" o:spt="201" alt="" type="#_x0000_t201" style="height:18pt;width:82.5pt;" o:ole="t" filled="f" o:preferrelative="t" stroked="f" coordsize="21600,21600">
                  <v:path/>
                  <v:fill on="f" focussize="0,0"/>
                  <v:stroke on="f"/>
                  <v:imagedata r:id="rId39" o:title=""/>
                  <o:lock v:ext="edit" aspectratio="t"/>
                  <w10:wrap type="none"/>
                  <w10:anchorlock/>
                </v:shape>
                <w:control r:id="rId38" w:name="CheckBox32" w:shapeid="_x0000_i1037"/>
              </w:object>
            </w:r>
            <w:r>
              <w:rPr>
                <w:rFonts w:ascii="宋体" w:hAnsi="宋体"/>
                <w:b/>
              </w:rPr>
              <w:object>
                <v:shape id="_x0000_i1038" o:spt="201" alt="" type="#_x0000_t201" style="height:18pt;width:108pt;" o:ole="t" filled="f" o:preferrelative="t" stroked="f" coordsize="21600,21600">
                  <v:path/>
                  <v:fill on="f" focussize="0,0"/>
                  <v:stroke on="f"/>
                  <v:imagedata r:id="rId41" o:title=""/>
                  <o:lock v:ext="edit" aspectratio="t"/>
                  <w10:wrap type="none"/>
                  <w10:anchorlock/>
                </v:shape>
                <w:control r:id="rId40" w:name="CheckBox33" w:shapeid="_x0000_i1038"/>
              </w:obje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8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所属行业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  <w:u w:val="single"/>
              </w:rPr>
            </w:pPr>
            <w:r>
              <w:rPr>
                <w:rFonts w:ascii="宋体" w:hAnsi="宋体"/>
                <w:b/>
              </w:rPr>
              <w:object>
                <v:shape id="_x0000_i1039" o:spt="201" alt="" type="#_x0000_t201" style="height:22.5pt;width:69pt;" o:ole="t" filled="f" o:preferrelative="t" stroked="f" coordsize="21600,21600">
                  <v:path/>
                  <v:fill on="f" focussize="0,0"/>
                  <v:stroke on="f"/>
                  <v:imagedata r:id="rId43" o:title=""/>
                  <o:lock v:ext="edit" aspectratio="t"/>
                  <w10:wrap type="none"/>
                  <w10:anchorlock/>
                </v:shape>
                <w:control r:id="rId42" w:name="CheckBox16" w:shapeid="_x0000_i1039"/>
              </w:object>
            </w:r>
            <w:r>
              <w:rPr>
                <w:rFonts w:ascii="宋体" w:hAnsi="宋体"/>
                <w:b/>
              </w:rPr>
              <w:object>
                <v:shape id="_x0000_i1040" o:spt="201" alt="" type="#_x0000_t201" style="height:21pt;width:69.75pt;" o:ole="t" filled="f" o:preferrelative="t" stroked="f" coordsize="21600,21600">
                  <v:path/>
                  <v:fill on="f" focussize="0,0"/>
                  <v:stroke on="f"/>
                  <v:imagedata r:id="rId45" o:title=""/>
                  <o:lock v:ext="edit" aspectratio="t"/>
                  <w10:wrap type="none"/>
                  <w10:anchorlock/>
                </v:shape>
                <w:control r:id="rId44" w:name="CheckBox17" w:shapeid="_x0000_i1040"/>
              </w:object>
            </w:r>
            <w:r>
              <w:rPr>
                <w:rFonts w:ascii="宋体" w:hAnsi="宋体"/>
                <w:b/>
              </w:rPr>
              <w:object>
                <v:shape id="_x0000_i1041" o:spt="201" alt="" type="#_x0000_t201" style="height:18pt;width:75.75pt;" o:ole="t" filled="f" o:preferrelative="t" stroked="f" coordsize="21600,21600">
                  <v:path/>
                  <v:fill on="f" focussize="0,0"/>
                  <v:stroke on="f"/>
                  <v:imagedata r:id="rId47" o:title=""/>
                  <o:lock v:ext="edit" aspectratio="t"/>
                  <w10:wrap type="none"/>
                  <w10:anchorlock/>
                </v:shape>
                <w:control r:id="rId46" w:name="CheckBox12" w:shapeid="_x0000_i1041"/>
              </w:object>
            </w:r>
            <w:r>
              <w:rPr>
                <w:rFonts w:ascii="宋体" w:hAnsi="宋体"/>
                <w:b/>
              </w:rPr>
              <w:object>
                <v:shape id="_x0000_i1042" o:spt="201" alt="" type="#_x0000_t201" style="height:18pt;width:69pt;" o:ole="t" filled="f" o:preferrelative="t" stroked="f" coordsize="21600,21600">
                  <v:path/>
                  <v:fill on="f" focussize="0,0"/>
                  <v:stroke on="f"/>
                  <v:imagedata r:id="rId49" o:title=""/>
                  <o:lock v:ext="edit" aspectratio="t"/>
                  <w10:wrap type="none"/>
                  <w10:anchorlock/>
                </v:shape>
                <w:control r:id="rId48" w:name="CheckBox34" w:shapeid="_x0000_i1042"/>
              </w:object>
            </w:r>
            <w:r>
              <w:rPr>
                <w:rFonts w:ascii="宋体" w:hAnsi="宋体"/>
                <w:b/>
              </w:rPr>
              <w:object>
                <v:shape id="_x0000_i1043" o:spt="201" alt="" type="#_x0000_t201" style="height:18pt;width:66.75pt;" o:ole="t" filled="f" o:preferrelative="t" stroked="f" coordsize="21600,21600">
                  <v:path/>
                  <v:fill on="f" focussize="0,0"/>
                  <v:stroke on="f"/>
                  <v:imagedata r:id="rId51" o:title=""/>
                  <o:lock v:ext="edit" aspectratio="t"/>
                  <w10:wrap type="none"/>
                  <w10:anchorlock/>
                </v:shape>
                <w:control r:id="rId50" w:name="CheckBox15" w:shapeid="_x0000_i1043"/>
              </w:object>
            </w:r>
            <w:r>
              <w:rPr>
                <w:rFonts w:ascii="宋体" w:hAnsi="宋体"/>
                <w:b/>
              </w:rPr>
              <w:object>
                <v:shape id="_x0000_i1044" o:spt="201" alt="" type="#_x0000_t201" style="height:18pt;width:72.75pt;" o:ole="t" filled="f" o:preferrelative="t" stroked="f" coordsize="21600,21600">
                  <v:path/>
                  <v:fill on="f" focussize="0,0"/>
                  <v:stroke on="f"/>
                  <v:imagedata r:id="rId53" o:title=""/>
                  <o:lock v:ext="edit" aspectratio="t"/>
                  <w10:wrap type="none"/>
                  <w10:anchorlock/>
                </v:shape>
                <w:control r:id="rId52" w:name="CheckBox13" w:shapeid="_x0000_i1044"/>
              </w:object>
            </w:r>
            <w:r>
              <w:rPr>
                <w:rFonts w:ascii="宋体" w:hAnsi="宋体"/>
                <w:b/>
              </w:rPr>
              <w:object>
                <v:shape id="_x0000_i1045" o:spt="201" alt="" type="#_x0000_t201" style="height:18pt;width:66pt;" o:ole="t" filled="f" o:preferrelative="t" stroked="f" coordsize="21600,21600">
                  <v:path/>
                  <v:fill on="f" focussize="0,0"/>
                  <v:stroke on="f"/>
                  <v:imagedata r:id="rId55" o:title=""/>
                  <o:lock v:ext="edit" aspectratio="t"/>
                  <w10:wrap type="none"/>
                  <w10:anchorlock/>
                </v:shape>
                <w:control r:id="rId54" w:name="CheckBox18" w:shapeid="_x0000_i1045"/>
              </w:object>
            </w:r>
            <w:r>
              <w:rPr>
                <w:rFonts w:ascii="宋体" w:hAnsi="宋体"/>
                <w:b/>
              </w:rPr>
              <w:object>
                <v:shape id="_x0000_i1046" o:spt="201" alt="" type="#_x0000_t201" style="height:18pt;width:80.25pt;" o:ole="t" filled="f" o:preferrelative="t" stroked="f" coordsize="21600,21600">
                  <v:path/>
                  <v:fill on="f" focussize="0,0"/>
                  <v:stroke on="f"/>
                  <v:imagedata r:id="rId57" o:title=""/>
                  <o:lock v:ext="edit" aspectratio="t"/>
                  <w10:wrap type="none"/>
                  <w10:anchorlock/>
                </v:shape>
                <w:control r:id="rId56" w:name="CheckBox36" w:shapeid="_x0000_i1046"/>
              </w:object>
            </w:r>
            <w:r>
              <w:rPr>
                <w:rFonts w:ascii="宋体" w:hAnsi="宋体"/>
                <w:b/>
              </w:rPr>
              <w:object>
                <v:shape id="_x0000_i1047" o:spt="201" alt="" type="#_x0000_t201" style="height:18pt;width:69pt;" o:ole="t" filled="f" o:preferrelative="t" stroked="f" coordsize="21600,21600">
                  <v:path/>
                  <v:fill on="f" focussize="0,0"/>
                  <v:stroke on="f"/>
                  <v:imagedata r:id="rId59" o:title=""/>
                  <o:lock v:ext="edit" aspectratio="t"/>
                  <w10:wrap type="none"/>
                  <w10:anchorlock/>
                </v:shape>
                <w:control r:id="rId58" w:name="CheckBox14" w:shapeid="_x0000_i1047"/>
              </w:object>
            </w:r>
            <w:r>
              <w:rPr>
                <w:rFonts w:ascii="宋体" w:hAnsi="宋体"/>
                <w:b/>
              </w:rPr>
              <w:object>
                <v:shape id="_x0000_i1048" o:spt="201" alt="" type="#_x0000_t201" style="height:19.5pt;width:75pt;" o:ole="t" filled="f" o:preferrelative="t" stroked="f" coordsize="21600,21600">
                  <v:path/>
                  <v:fill on="f" focussize="0,0"/>
                  <v:stroke on="f"/>
                  <v:imagedata r:id="rId61" o:title=""/>
                  <o:lock v:ext="edit" aspectratio="t"/>
                  <w10:wrap type="none"/>
                  <w10:anchorlock/>
                </v:shape>
                <w:control r:id="rId60" w:name="CheckBox19" w:shapeid="_x0000_i1048"/>
              </w:object>
            </w:r>
            <w:r>
              <w:rPr>
                <w:rFonts w:hint="eastAsia" w:ascii="宋体" w:hAnsi="宋体"/>
                <w:b/>
                <w:u w:val="single"/>
              </w:rPr>
              <w:t xml:space="preserve">           </w:t>
            </w:r>
            <w:r>
              <w:rPr>
                <w:rFonts w:hint="eastAsia" w:ascii="宋体" w:hAnsi="宋体"/>
                <w:b/>
              </w:rPr>
              <w:t xml:space="preserve"> </w:t>
            </w:r>
            <w:r>
              <w:rPr>
                <w:rFonts w:ascii="宋体" w:hAnsi="宋体"/>
                <w:b/>
              </w:rPr>
              <w:object>
                <v:shape id="_x0000_i1049" o:spt="201" alt="" type="#_x0000_t201" style="height:18pt;width:69.75pt;" o:ole="t" filled="f" o:preferrelative="t" stroked="f" coordsize="21600,21600">
                  <v:path/>
                  <v:fill on="f" focussize="0,0"/>
                  <v:stroke on="f"/>
                  <v:imagedata r:id="rId63" o:title=""/>
                  <o:lock v:ext="edit" aspectratio="t"/>
                  <w10:wrap type="none"/>
                  <w10:anchorlock/>
                </v:shape>
                <w:control r:id="rId62" w:name="CheckBox35" w:shapeid="_x0000_i1049"/>
              </w:object>
            </w:r>
            <w:r>
              <w:rPr>
                <w:rFonts w:ascii="宋体" w:hAnsi="宋体"/>
                <w:b/>
              </w:rPr>
              <w:object>
                <v:shape id="_x0000_i1050" o:spt="201" alt="" type="#_x0000_t201" style="height:18pt;width:68.25pt;" o:ole="t" filled="f" o:preferrelative="t" stroked="f" coordsize="21600,21600">
                  <v:path/>
                  <v:fill on="f" focussize="0,0"/>
                  <v:stroke on="f"/>
                  <v:imagedata r:id="rId65" o:title=""/>
                  <o:lock v:ext="edit" aspectratio="t"/>
                  <w10:wrap type="none"/>
                  <w10:anchorlock/>
                </v:shape>
                <w:control r:id="rId64" w:name="CheckBox37" w:shapeid="_x0000_i1050"/>
              </w:object>
            </w:r>
            <w:r>
              <w:rPr>
                <w:rFonts w:ascii="宋体" w:hAnsi="宋体"/>
                <w:b/>
              </w:rPr>
              <w:object>
                <v:shape id="_x0000_i1051" o:spt="201" alt="" type="#_x0000_t201" style="height:18pt;width:65.25pt;" o:ole="t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w:control r:id="rId66" w:name="CheckBox38" w:shapeid="_x0000_i1051"/>
              </w:object>
            </w:r>
            <w:r>
              <w:rPr>
                <w:rFonts w:ascii="宋体" w:hAnsi="宋体"/>
                <w:b/>
              </w:rPr>
              <w:object>
                <v:shape id="_x0000_i1052" o:spt="201" alt="" type="#_x0000_t201" style="height:18pt;width:41.25pt;" o:ole="t" filled="f" o:preferrelative="t" stroked="f" coordsize="21600,21600">
                  <v:path/>
                  <v:fill on="f" focussize="0,0"/>
                  <v:stroke on="f"/>
                  <v:imagedata r:id="rId69" o:title=""/>
                  <o:lock v:ext="edit" aspectratio="t"/>
                  <w10:wrap type="none"/>
                  <w10:anchorlock/>
                </v:shape>
                <w:control r:id="rId68" w:name="CheckBox20" w:shapeid="_x0000_i1052"/>
              </w:object>
            </w:r>
            <w:r>
              <w:rPr>
                <w:rFonts w:hint="eastAsia" w:ascii="宋体" w:hAnsi="宋体"/>
                <w:b/>
                <w:u w:val="single"/>
              </w:rPr>
              <w:t xml:space="preserve">             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年营业额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（RMB)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object>
                <v:shape id="_x0000_i1053" o:spt="201" alt="" type="#_x0000_t201" style="height:18pt;width:99pt;" o:ole="t" filled="f" o:preferrelative="t" stroked="f" coordsize="21600,21600">
                  <v:path/>
                  <v:fill on="f" focussize="0,0"/>
                  <v:stroke on="f"/>
                  <v:imagedata r:id="rId71" o:title=""/>
                  <o:lock v:ext="edit" aspectratio="t"/>
                  <w10:wrap type="none"/>
                  <w10:anchorlock/>
                </v:shape>
                <w:control r:id="rId70" w:name="CheckBox21" w:shapeid="_x0000_i1053"/>
              </w:object>
            </w:r>
            <w:r>
              <w:rPr>
                <w:rFonts w:ascii="宋体" w:hAnsi="宋体"/>
                <w:b/>
              </w:rPr>
              <w:object>
                <v:shape id="_x0000_i1054" o:spt="201" alt="" type="#_x0000_t201" style="height:18pt;width:96pt;" o:ole="t" filled="f" o:preferrelative="t" stroked="f" coordsize="21600,21600">
                  <v:path/>
                  <v:fill on="f" focussize="0,0"/>
                  <v:stroke on="f"/>
                  <v:imagedata r:id="rId73" o:title=""/>
                  <o:lock v:ext="edit" aspectratio="t"/>
                  <w10:wrap type="none"/>
                  <w10:anchorlock/>
                </v:shape>
                <w:control r:id="rId72" w:name="CheckBox22" w:shapeid="_x0000_i1054"/>
              </w:object>
            </w:r>
            <w:r>
              <w:rPr>
                <w:rFonts w:ascii="宋体" w:hAnsi="宋体"/>
                <w:b/>
              </w:rPr>
              <w:object>
                <v:shape id="_x0000_i1055" o:spt="201" alt="" type="#_x0000_t201" style="height:18pt;width:124.5pt;" o:ole="t" filled="f" o:preferrelative="t" stroked="f" coordsize="21600,21600">
                  <v:path/>
                  <v:fill on="f" focussize="0,0"/>
                  <v:stroke on="f"/>
                  <v:imagedata r:id="rId75" o:title=""/>
                  <o:lock v:ext="edit" aspectratio="t"/>
                  <w10:wrap type="none"/>
                  <w10:anchorlock/>
                </v:shape>
                <w:control r:id="rId74" w:name="CheckBox23" w:shapeid="_x0000_i1055"/>
              </w:object>
            </w:r>
            <w:r>
              <w:rPr>
                <w:rFonts w:ascii="宋体" w:hAnsi="宋体"/>
                <w:b/>
              </w:rPr>
              <w:object>
                <v:shape id="_x0000_i1056" o:spt="201" alt="" type="#_x0000_t201" style="height:18pt;width:124.5pt;" o:ole="t" filled="f" o:preferrelative="t" stroked="f" coordsize="21600,21600">
                  <v:path/>
                  <v:fill on="f" focussize="0,0"/>
                  <v:stroke on="f"/>
                  <v:imagedata r:id="rId77" o:title=""/>
                  <o:lock v:ext="edit" aspectratio="t"/>
                  <w10:wrap type="none"/>
                  <w10:anchorlock/>
                </v:shape>
                <w:control r:id="rId76" w:name="CheckBox24" w:shapeid="_x0000_i1056"/>
              </w:object>
            </w:r>
            <w:r>
              <w:rPr>
                <w:rFonts w:ascii="宋体" w:hAnsi="宋体"/>
                <w:b/>
              </w:rPr>
              <w:object>
                <v:shape id="_x0000_i1057" o:spt="201" alt="" type="#_x0000_t201" style="height:18pt;width:119.25pt;" o:ole="t" filled="f" o:preferrelative="t" stroked="f" coordsize="21600,21600">
                  <v:path/>
                  <v:fill on="f" focussize="0,0"/>
                  <v:stroke on="f"/>
                  <v:imagedata r:id="rId79" o:title=""/>
                  <o:lock v:ext="edit" aspectratio="t"/>
                  <w10:wrap type="none"/>
                  <w10:anchorlock/>
                </v:shape>
                <w:control r:id="rId78" w:name="CheckBox25" w:shapeid="_x0000_i1057"/>
              </w:object>
            </w:r>
            <w:r>
              <w:rPr>
                <w:rFonts w:ascii="宋体" w:hAnsi="宋体"/>
                <w:b/>
              </w:rPr>
              <w:object>
                <v:shape id="_x0000_i1058" o:spt="201" alt="" type="#_x0000_t201" style="height:18pt;width:108pt;" o:ole="t" filled="f" o:preferrelative="t" stroked="f" coordsize="21600,21600">
                  <v:path/>
                  <v:fill on="f" focussize="0,0"/>
                  <v:stroke on="f"/>
                  <v:imagedata r:id="rId81" o:title=""/>
                  <o:lock v:ext="edit" aspectratio="t"/>
                  <w10:wrap type="none"/>
                  <w10:anchorlock/>
                </v:shape>
                <w:control r:id="rId80" w:name="CheckBox26" w:shapeid="_x0000_i1058"/>
              </w:obje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1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企业规模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object>
                <v:shape id="_x0000_i1059" o:spt="201" alt="" type="#_x0000_t201" style="height:18pt;width:72.75pt;" o:ole="t" filled="f" o:preferrelative="t" stroked="f" coordsize="21600,21600">
                  <v:path/>
                  <v:fill on="f" focussize="0,0"/>
                  <v:stroke on="f"/>
                  <v:imagedata r:id="rId83" o:title=""/>
                  <o:lock v:ext="edit" aspectratio="t"/>
                  <w10:wrap type="none"/>
                  <w10:anchorlock/>
                </v:shape>
                <w:control r:id="rId82" w:name="CheckBox271" w:shapeid="_x0000_i1059"/>
              </w:object>
            </w:r>
            <w:r>
              <w:rPr>
                <w:rFonts w:ascii="宋体" w:hAnsi="宋体"/>
                <w:b/>
              </w:rPr>
              <w:object>
                <v:shape id="_x0000_i1060" o:spt="201" alt="" type="#_x0000_t201" style="height:18pt;width:72.75pt;" o:ole="t" filled="f" o:preferrelative="t" stroked="f" coordsize="21600,21600">
                  <v:path/>
                  <v:fill on="f" focussize="0,0"/>
                  <v:stroke on="f"/>
                  <v:imagedata r:id="rId85" o:title=""/>
                  <o:lock v:ext="edit" aspectratio="t"/>
                  <w10:wrap type="none"/>
                  <w10:anchorlock/>
                </v:shape>
                <w:control r:id="rId84" w:name="CheckBox28" w:shapeid="_x0000_i1060"/>
              </w:object>
            </w:r>
            <w:r>
              <w:rPr>
                <w:rFonts w:ascii="宋体" w:hAnsi="宋体"/>
                <w:b/>
              </w:rPr>
              <w:object>
                <v:shape id="_x0000_i1061" o:spt="201" alt="" type="#_x0000_t201" style="height:18pt;width:75.75pt;" o:ole="t" filled="f" o:preferrelative="t" stroked="f" coordsize="21600,21600">
                  <v:path/>
                  <v:fill on="f" focussize="0,0"/>
                  <v:stroke on="f"/>
                  <v:imagedata r:id="rId87" o:title=""/>
                  <o:lock v:ext="edit" aspectratio="t"/>
                  <w10:wrap type="none"/>
                  <w10:anchorlock/>
                </v:shape>
                <w:control r:id="rId86" w:name="CheckBox29" w:shapeid="_x0000_i1061"/>
              </w:object>
            </w:r>
            <w:r>
              <w:rPr>
                <w:rFonts w:ascii="宋体" w:hAnsi="宋体"/>
                <w:b/>
              </w:rPr>
              <w:object>
                <v:shape id="_x0000_i1062" o:spt="201" alt="" type="#_x0000_t201" style="height:18pt;width:78pt;" o:ole="t" filled="f" o:preferrelative="t" stroked="f" coordsize="21600,21600">
                  <v:path/>
                  <v:fill on="f" focussize="0,0"/>
                  <v:stroke on="f"/>
                  <v:imagedata r:id="rId89" o:title=""/>
                  <o:lock v:ext="edit" aspectratio="t"/>
                  <w10:wrap type="none"/>
                  <w10:anchorlock/>
                </v:shape>
                <w:control r:id="rId88" w:name="CheckBox30" w:shapeid="_x0000_i1062"/>
              </w:object>
            </w:r>
            <w:r>
              <w:rPr>
                <w:rFonts w:ascii="宋体" w:hAnsi="宋体"/>
                <w:b/>
              </w:rPr>
              <w:object>
                <v:shape id="_x0000_i1063" o:spt="201" alt="" type="#_x0000_t201" style="height:18pt;width:78pt;" o:ole="t" filled="f" o:preferrelative="t" stroked="f" coordsize="21600,21600">
                  <v:path/>
                  <v:fill on="f" focussize="0,0"/>
                  <v:stroke on="f"/>
                  <v:imagedata r:id="rId91" o:title=""/>
                  <o:lock v:ext="edit" aspectratio="t"/>
                  <w10:wrap type="none"/>
                  <w10:anchorlock/>
                </v:shape>
                <w:control r:id="rId90" w:name="CheckBox31" w:shapeid="_x0000_i1063"/>
              </w:obje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384" w:type="dxa"/>
            <w:tcBorders>
              <w:top w:val="doub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120" w:lineRule="exact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191" w:type="dxa"/>
            <w:gridSpan w:val="9"/>
            <w:tcBorders>
              <w:top w:val="doub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120" w:lineRule="exact"/>
              <w:ind w:left="-34" w:leftChars="-16" w:firstLine="17" w:firstLineChars="8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3" w:hRule="atLeast"/>
          <w:jc w:val="center"/>
        </w:trPr>
        <w:tc>
          <w:tcPr>
            <w:tcW w:w="9575" w:type="dxa"/>
            <w:gridSpan w:val="10"/>
            <w:tcBorders>
              <w:top w:val="nil"/>
              <w:bottom w:val="double" w:color="auto" w:sz="4" w:space="0"/>
            </w:tcBorders>
            <w:vAlign w:val="center"/>
          </w:tcPr>
          <w:p>
            <w:pPr>
              <w:pBdr>
                <w:top w:val="double" w:color="auto" w:sz="4" w:space="1"/>
                <w:left w:val="double" w:color="auto" w:sz="4" w:space="4"/>
                <w:right w:val="double" w:color="auto" w:sz="4" w:space="4"/>
              </w:pBd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  <w:lang w:val="en-US" w:eastAsia="zh-CN"/>
              </w:rPr>
              <w:t>汇款信息</w:t>
            </w:r>
            <w:r>
              <w:rPr>
                <w:rFonts w:hint="eastAsia" w:ascii="宋体" w:hAnsi="宋体"/>
                <w:b/>
              </w:rPr>
              <w:t>：</w:t>
            </w:r>
          </w:p>
          <w:p>
            <w:pPr>
              <w:pBdr>
                <w:top w:val="double" w:color="auto" w:sz="4" w:space="1"/>
                <w:left w:val="double" w:color="auto" w:sz="4" w:space="4"/>
                <w:right w:val="double" w:color="auto" w:sz="4" w:space="4"/>
              </w:pBd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/>
                <w:b/>
                <w:lang w:val="en-US" w:eastAsia="zh-CN"/>
              </w:rPr>
              <w:t>汇款金额：68000元/人</w:t>
            </w:r>
          </w:p>
          <w:p>
            <w:pPr>
              <w:adjustRightInd w:val="0"/>
              <w:snapToGrid w:val="0"/>
              <w:spacing w:line="276" w:lineRule="auto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户 </w:t>
            </w:r>
            <w:r>
              <w:rPr>
                <w:rFonts w:hint="eastAsia"/>
                <w:b/>
                <w:sz w:val="22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 w:val="22"/>
              </w:rPr>
              <w:t> 名：北清智库（北京）教育科技有限公司</w:t>
            </w:r>
          </w:p>
          <w:p>
            <w:pPr>
              <w:adjustRightInd w:val="0"/>
              <w:snapToGrid w:val="0"/>
              <w:spacing w:line="276" w:lineRule="auto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开</w:t>
            </w:r>
            <w:r>
              <w:rPr>
                <w:rFonts w:hint="eastAsia"/>
                <w:b/>
                <w:sz w:val="22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2"/>
              </w:rPr>
              <w:t>户</w:t>
            </w:r>
            <w:r>
              <w:rPr>
                <w:rFonts w:hint="eastAsia"/>
                <w:b/>
                <w:sz w:val="22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2"/>
              </w:rPr>
              <w:t>行：工商银行</w:t>
            </w:r>
            <w:r>
              <w:rPr>
                <w:rFonts w:hint="eastAsia"/>
                <w:b/>
                <w:sz w:val="22"/>
                <w:lang w:val="en-US" w:eastAsia="zh-CN"/>
              </w:rPr>
              <w:t>北京中关村</w:t>
            </w:r>
            <w:r>
              <w:rPr>
                <w:rFonts w:hint="eastAsia"/>
                <w:b/>
                <w:sz w:val="22"/>
              </w:rPr>
              <w:t>成府路支行</w:t>
            </w:r>
            <w:r>
              <w:rPr>
                <w:rFonts w:hint="eastAsia"/>
                <w:b/>
                <w:sz w:val="22"/>
                <w:lang w:eastAsia="zh-CN"/>
              </w:rPr>
              <w:t>（</w:t>
            </w:r>
            <w:r>
              <w:rPr>
                <w:rFonts w:hint="eastAsia"/>
                <w:b/>
                <w:sz w:val="22"/>
                <w:lang w:val="en-US" w:eastAsia="zh-CN"/>
              </w:rPr>
              <w:t>或成府路分理处</w:t>
            </w:r>
            <w:r>
              <w:rPr>
                <w:rFonts w:hint="eastAsia"/>
                <w:b/>
                <w:sz w:val="22"/>
                <w:lang w:eastAsia="zh-CN"/>
              </w:rPr>
              <w:t>）</w:t>
            </w:r>
          </w:p>
          <w:p>
            <w:pPr>
              <w:adjustRightInd w:val="0"/>
              <w:snapToGrid w:val="0"/>
              <w:spacing w:line="276" w:lineRule="auto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帐  </w:t>
            </w:r>
            <w:r>
              <w:rPr>
                <w:rFonts w:hint="eastAsia"/>
                <w:b/>
                <w:sz w:val="22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 w:val="22"/>
              </w:rPr>
              <w:t>号： 0200095709200207964</w:t>
            </w:r>
          </w:p>
          <w:p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  <w:u w:val="single"/>
              </w:rPr>
            </w:pPr>
            <w:r>
              <w:rPr>
                <w:rFonts w:hint="eastAsia"/>
                <w:b/>
                <w:sz w:val="22"/>
              </w:rPr>
              <w:t>汇款注明：研修“***”成员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4" w:hRule="atLeast"/>
          <w:jc w:val="center"/>
        </w:trPr>
        <w:tc>
          <w:tcPr>
            <w:tcW w:w="9575" w:type="dxa"/>
            <w:gridSpan w:val="10"/>
            <w:tcBorders>
              <w:top w:val="nil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/>
                <w:b/>
                <w:lang w:val="en-US" w:eastAsia="zh-CN"/>
              </w:rPr>
            </w:pPr>
            <w:r>
              <w:rPr>
                <w:rFonts w:hint="eastAsia" w:ascii="宋体" w:hAnsi="宋体"/>
                <w:b/>
                <w:lang w:val="en-US" w:eastAsia="zh-CN"/>
              </w:rPr>
              <w:t>您对本次学习的建议：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/>
                <w:b/>
                <w:lang w:val="en-US" w:eastAsia="zh-CN"/>
              </w:rPr>
            </w:pP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/>
                <w:b/>
                <w:lang w:val="en-US" w:eastAsia="zh-CN"/>
              </w:rPr>
            </w:pP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hint="eastAsia" w:ascii="宋体" w:hAnsi="宋体"/>
                <w:b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 xml:space="preserve"> </w:t>
            </w:r>
            <w:r>
              <w:rPr>
                <w:rFonts w:hint="eastAsia" w:ascii="宋体" w:hAnsi="宋体"/>
                <w:b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宋体" w:hAnsi="宋体"/>
                <w:b/>
              </w:rPr>
              <w:t>学员签名：</w:t>
            </w:r>
            <w:r>
              <w:rPr>
                <w:rFonts w:hint="eastAsia" w:ascii="宋体" w:hAnsi="宋体"/>
                <w:b/>
                <w:u w:val="single"/>
              </w:rPr>
              <w:t xml:space="preserve">                </w:t>
            </w:r>
          </w:p>
        </w:tc>
      </w:tr>
    </w:tbl>
    <w:p>
      <w:pPr>
        <w:spacing w:line="360" w:lineRule="exact"/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1440" w:right="1246" w:bottom="698" w:left="78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咨询电话：13439064501（同微信） 陈老师                       网址：www.gototsinghua.org.cn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-638" w:rightChars="-304" w:firstLine="3600" w:firstLineChars="2000"/>
      <w:jc w:val="left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93345</wp:posOffset>
              </wp:positionH>
              <wp:positionV relativeFrom="paragraph">
                <wp:posOffset>167640</wp:posOffset>
              </wp:positionV>
              <wp:extent cx="6004560" cy="3175"/>
              <wp:effectExtent l="0" t="0" r="0" b="0"/>
              <wp:wrapNone/>
              <wp:docPr id="11" name="直线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4560" cy="2903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>
                            <a:lumMod val="6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线连接符 4" o:spid="_x0000_s1026" o:spt="20" style="position:absolute;left:0pt;flip:y;margin-left:7.35pt;margin-top:13.2pt;height:0.25pt;width:472.8pt;z-index:251659264;mso-width-relative:page;mso-height-relative:page;" filled="f" stroked="t" coordsize="21600,21600" o:gfxdata="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laVIM&#10;1wAAAAgBAAAPAAAAAAAAAAEAIAAAACIAAABkcnMvZG93bnJldi54bWxQSwECFAAUAAAACACHTuJA&#10;G5idTukBAACUAwAADgAAAAAAAAABACAAAAAmAQAAZHJzL2Uyb0RvYy54bWxQSwUGAAAAAAYABgBZ&#10;AQAAgQUAAAAA&#10;">
              <v:fill on="f" focussize="0,0"/>
              <v:stroke weight="1pt" color="#A6A6A6 [2092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Theme="minor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506730</wp:posOffset>
          </wp:positionH>
          <wp:positionV relativeFrom="paragraph">
            <wp:posOffset>-156210</wp:posOffset>
          </wp:positionV>
          <wp:extent cx="1474470" cy="359410"/>
          <wp:effectExtent l="0" t="0" r="11430" b="8890"/>
          <wp:wrapTight wrapText="bothSides">
            <wp:wrapPolygon>
              <wp:start x="0" y="0"/>
              <wp:lineTo x="0" y="20608"/>
              <wp:lineTo x="21395" y="20608"/>
              <wp:lineTo x="21395" y="0"/>
              <wp:lineTo x="0" y="0"/>
            </wp:wrapPolygon>
          </wp:wrapTight>
          <wp:docPr id="14" name="图片 14" descr="JPG左右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JPG左右组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447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>集十年</w:t>
    </w:r>
    <w:r>
      <w:rPr>
        <w:rFonts w:hint="eastAsia"/>
        <w:lang w:val="en-US" w:eastAsia="zh-CN"/>
      </w:rPr>
      <w:t>EMBA</w:t>
    </w:r>
    <w:r>
      <w:rPr>
        <w:rFonts w:hint="eastAsia"/>
      </w:rPr>
      <w:t>教育</w:t>
    </w:r>
    <w:r>
      <w:rPr>
        <w:rFonts w:hint="eastAsia"/>
        <w:lang w:eastAsia="zh-CN"/>
      </w:rPr>
      <w:t>之</w:t>
    </w:r>
    <w:r>
      <w:rPr>
        <w:rFonts w:hint="eastAsia"/>
      </w:rPr>
      <w:t>精华，斩获经济2.0时代企业互联网化</w:t>
    </w:r>
    <w:r>
      <w:rPr>
        <w:rFonts w:hint="eastAsia"/>
        <w:lang w:eastAsia="zh-CN"/>
      </w:rPr>
      <w:t>之</w:t>
    </w:r>
    <w:r>
      <w:rPr>
        <w:rFonts w:hint="eastAsia"/>
      </w:rPr>
      <w:t>法宝</w:t>
    </w:r>
    <w:r>
      <w:t>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9FE7A"/>
    <w:multiLevelType w:val="singleLevel"/>
    <w:tmpl w:val="57F9FE7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016CE6"/>
    <w:rsid w:val="005C61BA"/>
    <w:rsid w:val="00D10618"/>
    <w:rsid w:val="00D4773A"/>
    <w:rsid w:val="00FD73F5"/>
    <w:rsid w:val="01E67D50"/>
    <w:rsid w:val="02393489"/>
    <w:rsid w:val="03584E62"/>
    <w:rsid w:val="03D2264C"/>
    <w:rsid w:val="076C5261"/>
    <w:rsid w:val="07F74202"/>
    <w:rsid w:val="0AEC4188"/>
    <w:rsid w:val="0B856939"/>
    <w:rsid w:val="0C106577"/>
    <w:rsid w:val="0C5706AB"/>
    <w:rsid w:val="0FFC7989"/>
    <w:rsid w:val="1028377A"/>
    <w:rsid w:val="10C01293"/>
    <w:rsid w:val="14A13426"/>
    <w:rsid w:val="14AA621A"/>
    <w:rsid w:val="158A3378"/>
    <w:rsid w:val="15E02A80"/>
    <w:rsid w:val="18576E49"/>
    <w:rsid w:val="187E69EC"/>
    <w:rsid w:val="18961289"/>
    <w:rsid w:val="18EF3F8F"/>
    <w:rsid w:val="19706766"/>
    <w:rsid w:val="1BE012CB"/>
    <w:rsid w:val="1CCC4623"/>
    <w:rsid w:val="1D7A090E"/>
    <w:rsid w:val="1E072D5C"/>
    <w:rsid w:val="1E67193E"/>
    <w:rsid w:val="1F1832BE"/>
    <w:rsid w:val="23112BED"/>
    <w:rsid w:val="232914CD"/>
    <w:rsid w:val="25417311"/>
    <w:rsid w:val="25DC508C"/>
    <w:rsid w:val="29736EF3"/>
    <w:rsid w:val="2E1258DC"/>
    <w:rsid w:val="2E42187B"/>
    <w:rsid w:val="2F9E706E"/>
    <w:rsid w:val="31F10FC0"/>
    <w:rsid w:val="350B1BE3"/>
    <w:rsid w:val="38574F79"/>
    <w:rsid w:val="387A54F9"/>
    <w:rsid w:val="390832B7"/>
    <w:rsid w:val="3EAE3666"/>
    <w:rsid w:val="3F015523"/>
    <w:rsid w:val="433C22D1"/>
    <w:rsid w:val="44547AB7"/>
    <w:rsid w:val="45016CE6"/>
    <w:rsid w:val="464B2BC2"/>
    <w:rsid w:val="46B2225C"/>
    <w:rsid w:val="47A77843"/>
    <w:rsid w:val="484564B6"/>
    <w:rsid w:val="49521ECF"/>
    <w:rsid w:val="49EC12CB"/>
    <w:rsid w:val="4C8626DA"/>
    <w:rsid w:val="51C963A2"/>
    <w:rsid w:val="5599000A"/>
    <w:rsid w:val="55CD2D11"/>
    <w:rsid w:val="5634007B"/>
    <w:rsid w:val="56505F4F"/>
    <w:rsid w:val="57203458"/>
    <w:rsid w:val="585E7547"/>
    <w:rsid w:val="5A4D4EAE"/>
    <w:rsid w:val="5A947609"/>
    <w:rsid w:val="5AC567E2"/>
    <w:rsid w:val="5C5849A0"/>
    <w:rsid w:val="5C6F6621"/>
    <w:rsid w:val="5D2074C4"/>
    <w:rsid w:val="5EBE0F4F"/>
    <w:rsid w:val="5F8517F0"/>
    <w:rsid w:val="609E4120"/>
    <w:rsid w:val="60B56862"/>
    <w:rsid w:val="614E2B26"/>
    <w:rsid w:val="627122D0"/>
    <w:rsid w:val="633564AC"/>
    <w:rsid w:val="647F5C24"/>
    <w:rsid w:val="64CC2062"/>
    <w:rsid w:val="65CF3449"/>
    <w:rsid w:val="671A7444"/>
    <w:rsid w:val="67BF2A2C"/>
    <w:rsid w:val="692A7A1F"/>
    <w:rsid w:val="6B470BF7"/>
    <w:rsid w:val="6C3A0480"/>
    <w:rsid w:val="6D864B19"/>
    <w:rsid w:val="6E440177"/>
    <w:rsid w:val="6F5F462E"/>
    <w:rsid w:val="713F5F34"/>
    <w:rsid w:val="717305CD"/>
    <w:rsid w:val="724A55C7"/>
    <w:rsid w:val="73C41D4B"/>
    <w:rsid w:val="73D874F5"/>
    <w:rsid w:val="747A13E7"/>
    <w:rsid w:val="76A47C80"/>
    <w:rsid w:val="78AC5765"/>
    <w:rsid w:val="79546075"/>
    <w:rsid w:val="796D6775"/>
    <w:rsid w:val="79947C61"/>
    <w:rsid w:val="7A2B6CA3"/>
    <w:rsid w:val="7B0977C2"/>
    <w:rsid w:val="7BA617A8"/>
    <w:rsid w:val="7C5B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rFonts w:ascii="Heiti SC Light" w:eastAsia="Heiti SC Light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  <w:rPr>
      <w:rFonts w:cs="Times New Roman"/>
    </w:rPr>
  </w:style>
  <w:style w:type="paragraph" w:customStyle="1" w:styleId="10">
    <w:name w:val="列出段落2"/>
    <w:basedOn w:val="1"/>
    <w:qFormat/>
    <w:uiPriority w:val="34"/>
    <w:pPr>
      <w:ind w:firstLine="420" w:firstLineChars="200"/>
    </w:pPr>
    <w:rPr>
      <w:rFonts w:ascii="Cambria" w:hAnsi="Cambria"/>
      <w:sz w:val="24"/>
    </w:rPr>
  </w:style>
  <w:style w:type="character" w:customStyle="1" w:styleId="11">
    <w:name w:val="批注框文本字符"/>
    <w:basedOn w:val="8"/>
    <w:link w:val="2"/>
    <w:qFormat/>
    <w:uiPriority w:val="0"/>
    <w:rPr>
      <w:rFonts w:ascii="Heiti SC Light" w:hAnsi="Calibri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48.wmf"/><Relationship Id="rId90" Type="http://schemas.openxmlformats.org/officeDocument/2006/relationships/control" Target="activeX/activeX39.xml"/><Relationship Id="rId9" Type="http://schemas.openxmlformats.org/officeDocument/2006/relationships/image" Target="media/image5.png"/><Relationship Id="rId89" Type="http://schemas.openxmlformats.org/officeDocument/2006/relationships/image" Target="media/image47.wmf"/><Relationship Id="rId88" Type="http://schemas.openxmlformats.org/officeDocument/2006/relationships/control" Target="activeX/activeX38.xml"/><Relationship Id="rId87" Type="http://schemas.openxmlformats.org/officeDocument/2006/relationships/image" Target="media/image46.wmf"/><Relationship Id="rId86" Type="http://schemas.openxmlformats.org/officeDocument/2006/relationships/control" Target="activeX/activeX37.xml"/><Relationship Id="rId85" Type="http://schemas.openxmlformats.org/officeDocument/2006/relationships/image" Target="media/image45.wmf"/><Relationship Id="rId84" Type="http://schemas.openxmlformats.org/officeDocument/2006/relationships/control" Target="activeX/activeX36.xml"/><Relationship Id="rId83" Type="http://schemas.openxmlformats.org/officeDocument/2006/relationships/image" Target="media/image44.wmf"/><Relationship Id="rId82" Type="http://schemas.openxmlformats.org/officeDocument/2006/relationships/control" Target="activeX/activeX35.xml"/><Relationship Id="rId81" Type="http://schemas.openxmlformats.org/officeDocument/2006/relationships/image" Target="media/image43.wmf"/><Relationship Id="rId80" Type="http://schemas.openxmlformats.org/officeDocument/2006/relationships/control" Target="activeX/activeX34.xml"/><Relationship Id="rId8" Type="http://schemas.openxmlformats.org/officeDocument/2006/relationships/image" Target="media/image4.png"/><Relationship Id="rId79" Type="http://schemas.openxmlformats.org/officeDocument/2006/relationships/image" Target="media/image42.wmf"/><Relationship Id="rId78" Type="http://schemas.openxmlformats.org/officeDocument/2006/relationships/control" Target="activeX/activeX33.xml"/><Relationship Id="rId77" Type="http://schemas.openxmlformats.org/officeDocument/2006/relationships/image" Target="media/image41.wmf"/><Relationship Id="rId76" Type="http://schemas.openxmlformats.org/officeDocument/2006/relationships/control" Target="activeX/activeX32.xml"/><Relationship Id="rId75" Type="http://schemas.openxmlformats.org/officeDocument/2006/relationships/image" Target="media/image40.wmf"/><Relationship Id="rId74" Type="http://schemas.openxmlformats.org/officeDocument/2006/relationships/control" Target="activeX/activeX31.xml"/><Relationship Id="rId73" Type="http://schemas.openxmlformats.org/officeDocument/2006/relationships/image" Target="media/image39.wmf"/><Relationship Id="rId72" Type="http://schemas.openxmlformats.org/officeDocument/2006/relationships/control" Target="activeX/activeX30.xml"/><Relationship Id="rId71" Type="http://schemas.openxmlformats.org/officeDocument/2006/relationships/image" Target="media/image38.wmf"/><Relationship Id="rId70" Type="http://schemas.openxmlformats.org/officeDocument/2006/relationships/control" Target="activeX/activeX29.xml"/><Relationship Id="rId7" Type="http://schemas.openxmlformats.org/officeDocument/2006/relationships/image" Target="media/image3.png"/><Relationship Id="rId69" Type="http://schemas.openxmlformats.org/officeDocument/2006/relationships/image" Target="media/image37.wmf"/><Relationship Id="rId68" Type="http://schemas.openxmlformats.org/officeDocument/2006/relationships/control" Target="activeX/activeX28.xml"/><Relationship Id="rId67" Type="http://schemas.openxmlformats.org/officeDocument/2006/relationships/image" Target="media/image36.wmf"/><Relationship Id="rId66" Type="http://schemas.openxmlformats.org/officeDocument/2006/relationships/control" Target="activeX/activeX27.xml"/><Relationship Id="rId65" Type="http://schemas.openxmlformats.org/officeDocument/2006/relationships/image" Target="media/image35.wmf"/><Relationship Id="rId64" Type="http://schemas.openxmlformats.org/officeDocument/2006/relationships/control" Target="activeX/activeX26.xml"/><Relationship Id="rId63" Type="http://schemas.openxmlformats.org/officeDocument/2006/relationships/image" Target="media/image34.wmf"/><Relationship Id="rId62" Type="http://schemas.openxmlformats.org/officeDocument/2006/relationships/control" Target="activeX/activeX25.xml"/><Relationship Id="rId61" Type="http://schemas.openxmlformats.org/officeDocument/2006/relationships/image" Target="media/image33.wmf"/><Relationship Id="rId60" Type="http://schemas.openxmlformats.org/officeDocument/2006/relationships/control" Target="activeX/activeX24.xml"/><Relationship Id="rId6" Type="http://schemas.openxmlformats.org/officeDocument/2006/relationships/image" Target="media/image2.png"/><Relationship Id="rId59" Type="http://schemas.openxmlformats.org/officeDocument/2006/relationships/image" Target="media/image32.wmf"/><Relationship Id="rId58" Type="http://schemas.openxmlformats.org/officeDocument/2006/relationships/control" Target="activeX/activeX23.xml"/><Relationship Id="rId57" Type="http://schemas.openxmlformats.org/officeDocument/2006/relationships/image" Target="media/image31.wmf"/><Relationship Id="rId56" Type="http://schemas.openxmlformats.org/officeDocument/2006/relationships/control" Target="activeX/activeX22.xml"/><Relationship Id="rId55" Type="http://schemas.openxmlformats.org/officeDocument/2006/relationships/image" Target="media/image30.wmf"/><Relationship Id="rId54" Type="http://schemas.openxmlformats.org/officeDocument/2006/relationships/control" Target="activeX/activeX21.xml"/><Relationship Id="rId53" Type="http://schemas.openxmlformats.org/officeDocument/2006/relationships/image" Target="media/image29.wmf"/><Relationship Id="rId52" Type="http://schemas.openxmlformats.org/officeDocument/2006/relationships/control" Target="activeX/activeX20.xml"/><Relationship Id="rId51" Type="http://schemas.openxmlformats.org/officeDocument/2006/relationships/image" Target="media/image28.wmf"/><Relationship Id="rId50" Type="http://schemas.openxmlformats.org/officeDocument/2006/relationships/control" Target="activeX/activeX19.xml"/><Relationship Id="rId5" Type="http://schemas.openxmlformats.org/officeDocument/2006/relationships/theme" Target="theme/theme1.xml"/><Relationship Id="rId49" Type="http://schemas.openxmlformats.org/officeDocument/2006/relationships/image" Target="media/image27.wmf"/><Relationship Id="rId48" Type="http://schemas.openxmlformats.org/officeDocument/2006/relationships/control" Target="activeX/activeX18.xml"/><Relationship Id="rId47" Type="http://schemas.openxmlformats.org/officeDocument/2006/relationships/image" Target="media/image26.wmf"/><Relationship Id="rId46" Type="http://schemas.openxmlformats.org/officeDocument/2006/relationships/control" Target="activeX/activeX17.xml"/><Relationship Id="rId45" Type="http://schemas.openxmlformats.org/officeDocument/2006/relationships/image" Target="media/image25.wmf"/><Relationship Id="rId44" Type="http://schemas.openxmlformats.org/officeDocument/2006/relationships/control" Target="activeX/activeX16.xml"/><Relationship Id="rId43" Type="http://schemas.openxmlformats.org/officeDocument/2006/relationships/image" Target="media/image24.wmf"/><Relationship Id="rId42" Type="http://schemas.openxmlformats.org/officeDocument/2006/relationships/control" Target="activeX/activeX15.xml"/><Relationship Id="rId41" Type="http://schemas.openxmlformats.org/officeDocument/2006/relationships/image" Target="media/image23.wmf"/><Relationship Id="rId40" Type="http://schemas.openxmlformats.org/officeDocument/2006/relationships/control" Target="activeX/activeX14.xml"/><Relationship Id="rId4" Type="http://schemas.openxmlformats.org/officeDocument/2006/relationships/footer" Target="footer1.xml"/><Relationship Id="rId39" Type="http://schemas.openxmlformats.org/officeDocument/2006/relationships/image" Target="media/image22.wmf"/><Relationship Id="rId38" Type="http://schemas.openxmlformats.org/officeDocument/2006/relationships/control" Target="activeX/activeX13.xml"/><Relationship Id="rId37" Type="http://schemas.openxmlformats.org/officeDocument/2006/relationships/image" Target="media/image21.wmf"/><Relationship Id="rId36" Type="http://schemas.openxmlformats.org/officeDocument/2006/relationships/control" Target="activeX/activeX12.xml"/><Relationship Id="rId35" Type="http://schemas.openxmlformats.org/officeDocument/2006/relationships/image" Target="media/image20.wmf"/><Relationship Id="rId34" Type="http://schemas.openxmlformats.org/officeDocument/2006/relationships/control" Target="activeX/activeX11.xml"/><Relationship Id="rId33" Type="http://schemas.openxmlformats.org/officeDocument/2006/relationships/image" Target="media/image19.wmf"/><Relationship Id="rId32" Type="http://schemas.openxmlformats.org/officeDocument/2006/relationships/control" Target="activeX/activeX10.xml"/><Relationship Id="rId31" Type="http://schemas.openxmlformats.org/officeDocument/2006/relationships/image" Target="media/image18.wmf"/><Relationship Id="rId30" Type="http://schemas.openxmlformats.org/officeDocument/2006/relationships/control" Target="activeX/activeX9.xml"/><Relationship Id="rId3" Type="http://schemas.openxmlformats.org/officeDocument/2006/relationships/header" Target="header1.xml"/><Relationship Id="rId29" Type="http://schemas.openxmlformats.org/officeDocument/2006/relationships/image" Target="media/image17.wmf"/><Relationship Id="rId28" Type="http://schemas.openxmlformats.org/officeDocument/2006/relationships/control" Target="activeX/activeX8.xml"/><Relationship Id="rId27" Type="http://schemas.openxmlformats.org/officeDocument/2006/relationships/image" Target="media/image16.wmf"/><Relationship Id="rId26" Type="http://schemas.openxmlformats.org/officeDocument/2006/relationships/control" Target="activeX/activeX7.xml"/><Relationship Id="rId25" Type="http://schemas.openxmlformats.org/officeDocument/2006/relationships/image" Target="media/image15.wmf"/><Relationship Id="rId24" Type="http://schemas.openxmlformats.org/officeDocument/2006/relationships/control" Target="activeX/activeX6.xml"/><Relationship Id="rId23" Type="http://schemas.openxmlformats.org/officeDocument/2006/relationships/image" Target="media/image14.wmf"/><Relationship Id="rId22" Type="http://schemas.openxmlformats.org/officeDocument/2006/relationships/control" Target="activeX/activeX5.xml"/><Relationship Id="rId21" Type="http://schemas.openxmlformats.org/officeDocument/2006/relationships/image" Target="media/image13.wmf"/><Relationship Id="rId20" Type="http://schemas.openxmlformats.org/officeDocument/2006/relationships/control" Target="activeX/activeX4.xml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control" Target="activeX/activeX3.xml"/><Relationship Id="rId17" Type="http://schemas.openxmlformats.org/officeDocument/2006/relationships/image" Target="media/image11.wmf"/><Relationship Id="rId16" Type="http://schemas.openxmlformats.org/officeDocument/2006/relationships/control" Target="activeX/activeX2.xml"/><Relationship Id="rId15" Type="http://schemas.openxmlformats.org/officeDocument/2006/relationships/image" Target="media/image10.wmf"/><Relationship Id="rId14" Type="http://schemas.openxmlformats.org/officeDocument/2006/relationships/control" Target="activeX/activeX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4882</Words>
  <Characters>5020</Characters>
  <Lines>57</Lines>
  <Paragraphs>16</Paragraphs>
  <TotalTime>1</TotalTime>
  <ScaleCrop>false</ScaleCrop>
  <LinksUpToDate>false</LinksUpToDate>
  <CharactersWithSpaces>6620</CharactersWithSpaces>
  <Application>WPS Office_11.1.0.8612_F1E327BC-269C-435d-A152-05C5408002CA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2017-12-08T06:00:00Z</dcterms:created>
  <dc:creator>liu</dc:creator>
  <cp:lastModifiedBy>清华总裁班陈伟宏</cp:lastModifiedBy>
  <cp:lastPrinted>2017-12-14T12:54:00Z</cp:lastPrinted>
  <dcterms:modified xsi:type="dcterms:W3CDTF">2019-05-01T15:44:20Z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